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EFB8" w14:textId="50B5E953" w:rsidR="00FF0F56" w:rsidRDefault="00E32561" w:rsidP="0064433E">
      <w:pPr>
        <w:spacing w:after="0" w:line="240" w:lineRule="auto"/>
        <w:jc w:val="both"/>
        <w:rPr>
          <w:rFonts w:ascii="Arial" w:hAnsi="Arial"/>
          <w:b/>
          <w:smallCaps/>
          <w:color w:val="7F7F7F" w:themeColor="text1" w:themeTint="80"/>
          <w:sz w:val="32"/>
          <w:szCs w:val="32"/>
        </w:rPr>
      </w:pPr>
      <w:r>
        <w:rPr>
          <w:rFonts w:ascii="Arial" w:hAnsi="Arial"/>
          <w:b/>
          <w:smallCaps/>
          <w:noProof/>
          <w:color w:val="7F7F7F" w:themeColor="text1" w:themeTint="80"/>
          <w:sz w:val="32"/>
          <w:szCs w:val="32"/>
          <w:lang w:eastAsia="fr-FR"/>
        </w:rPr>
        <w:drawing>
          <wp:inline distT="0" distB="0" distL="0" distR="0" wp14:anchorId="6A4840C4" wp14:editId="474582C0">
            <wp:extent cx="2920365" cy="10242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6DBCB" w14:textId="73D7C641" w:rsidR="003744B1" w:rsidRDefault="003744B1" w:rsidP="0064433E">
      <w:pPr>
        <w:spacing w:after="0" w:line="240" w:lineRule="auto"/>
        <w:jc w:val="both"/>
        <w:rPr>
          <w:rFonts w:ascii="Arial" w:hAnsi="Arial"/>
          <w:b/>
          <w:smallCaps/>
          <w:noProof/>
          <w:color w:val="7F7F7F" w:themeColor="text1" w:themeTint="80"/>
          <w:sz w:val="32"/>
          <w:szCs w:val="32"/>
          <w:lang w:eastAsia="fr-FR"/>
        </w:rPr>
      </w:pPr>
    </w:p>
    <w:p w14:paraId="4F404BBF" w14:textId="6B8E8AD0" w:rsidR="00FF0F56" w:rsidRDefault="00FF0F56" w:rsidP="0064433E">
      <w:pPr>
        <w:spacing w:after="0" w:line="240" w:lineRule="auto"/>
        <w:jc w:val="both"/>
        <w:rPr>
          <w:rFonts w:ascii="Arial" w:hAnsi="Arial"/>
          <w:b/>
          <w:smallCaps/>
          <w:color w:val="7F7F7F" w:themeColor="text1" w:themeTint="80"/>
          <w:sz w:val="32"/>
          <w:szCs w:val="32"/>
        </w:rPr>
      </w:pPr>
    </w:p>
    <w:p w14:paraId="70A6B96C" w14:textId="0F34FBC2" w:rsidR="00FF0F56" w:rsidRDefault="00FF0F56" w:rsidP="0064433E">
      <w:pPr>
        <w:spacing w:after="0" w:line="240" w:lineRule="auto"/>
        <w:jc w:val="both"/>
        <w:rPr>
          <w:rFonts w:ascii="Arial" w:hAnsi="Arial"/>
          <w:b/>
          <w:smallCaps/>
          <w:color w:val="7F7F7F" w:themeColor="text1" w:themeTint="80"/>
          <w:sz w:val="32"/>
          <w:szCs w:val="32"/>
        </w:rPr>
      </w:pPr>
    </w:p>
    <w:p w14:paraId="34E90372" w14:textId="1C6CF85F" w:rsidR="00D3389E" w:rsidRDefault="00D3389E" w:rsidP="0064433E">
      <w:pPr>
        <w:spacing w:after="0" w:line="240" w:lineRule="auto"/>
        <w:jc w:val="both"/>
        <w:rPr>
          <w:rFonts w:ascii="Arial" w:hAnsi="Arial"/>
          <w:b/>
          <w:smallCaps/>
          <w:color w:val="7F7F7F" w:themeColor="text1" w:themeTint="80"/>
          <w:sz w:val="32"/>
          <w:szCs w:val="32"/>
        </w:rPr>
      </w:pPr>
      <w:r>
        <w:rPr>
          <w:rFonts w:ascii="Arial" w:hAnsi="Arial"/>
          <w:b/>
          <w:smallCaps/>
          <w:color w:val="7F7F7F" w:themeColor="text1" w:themeTint="80"/>
          <w:sz w:val="32"/>
          <w:szCs w:val="32"/>
        </w:rPr>
        <w:br w:type="column"/>
      </w:r>
    </w:p>
    <w:p w14:paraId="0DF4E7B9" w14:textId="0C1250AD" w:rsidR="00FF0F56" w:rsidRDefault="00FF0F56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35ADADA0" w14:textId="4686F417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424EE1A9" w14:textId="5FA8446C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5555DF17" w14:textId="019E380F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2DD93D97" w14:textId="435185E3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298A2185" w14:textId="189AD6F5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073529AF" w14:textId="7A454343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4E325E8B" w14:textId="268F7CC7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69B2AFAA" w14:textId="6A0D45AA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1A367310" w14:textId="2DC3031E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2D5B5FA1" w14:textId="63445050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4EC9EDA5" w14:textId="74C4326E" w:rsidR="00923BD3" w:rsidRDefault="00923BD3" w:rsidP="0064433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  <w:sz w:val="28"/>
          <w:szCs w:val="28"/>
        </w:rPr>
      </w:pPr>
    </w:p>
    <w:p w14:paraId="70D83335" w14:textId="77777777" w:rsidR="00325506" w:rsidRPr="00107447" w:rsidRDefault="006363CF" w:rsidP="00325506">
      <w:pPr>
        <w:spacing w:after="0" w:line="240" w:lineRule="auto"/>
        <w:rPr>
          <w:rFonts w:ascii="Arial" w:hAnsi="Arial"/>
          <w:b/>
          <w:i/>
          <w:smallCaps/>
          <w:color w:val="70AD47" w:themeColor="accent6"/>
          <w:sz w:val="44"/>
          <w:szCs w:val="44"/>
        </w:rPr>
      </w:pPr>
      <w:r w:rsidRPr="00107447">
        <w:rPr>
          <w:rFonts w:ascii="Arial" w:hAnsi="Arial"/>
          <w:b/>
          <w:i/>
          <w:smallCaps/>
          <w:color w:val="70AD47" w:themeColor="accent6"/>
          <w:sz w:val="44"/>
          <w:szCs w:val="44"/>
        </w:rPr>
        <w:t>C</w:t>
      </w:r>
      <w:r w:rsidR="009524DC" w:rsidRPr="00107447">
        <w:rPr>
          <w:rFonts w:ascii="Arial" w:hAnsi="Arial"/>
          <w:b/>
          <w:i/>
          <w:smallCaps/>
          <w:color w:val="70AD47" w:themeColor="accent6"/>
          <w:sz w:val="44"/>
          <w:szCs w:val="44"/>
        </w:rPr>
        <w:t>oncertation</w:t>
      </w:r>
      <w:r w:rsidR="00AD2C80" w:rsidRPr="00107447">
        <w:rPr>
          <w:rFonts w:ascii="Arial" w:hAnsi="Arial"/>
          <w:b/>
          <w:i/>
          <w:smallCaps/>
          <w:color w:val="70AD47" w:themeColor="accent6"/>
          <w:sz w:val="44"/>
          <w:szCs w:val="44"/>
        </w:rPr>
        <w:t xml:space="preserve"> </w:t>
      </w:r>
      <w:r w:rsidR="007460C4" w:rsidRPr="00107447">
        <w:rPr>
          <w:rFonts w:ascii="Arial" w:hAnsi="Arial"/>
          <w:b/>
          <w:i/>
          <w:smallCaps/>
          <w:color w:val="70AD47" w:themeColor="accent6"/>
          <w:sz w:val="44"/>
          <w:szCs w:val="44"/>
        </w:rPr>
        <w:t>publique</w:t>
      </w:r>
    </w:p>
    <w:p w14:paraId="1567E99D" w14:textId="62B71483" w:rsidR="00007EF7" w:rsidRPr="00107447" w:rsidRDefault="00325506" w:rsidP="00325506">
      <w:pPr>
        <w:spacing w:before="240" w:after="0" w:line="240" w:lineRule="auto"/>
        <w:rPr>
          <w:rFonts w:ascii="Arial" w:hAnsi="Arial"/>
          <w:b/>
          <w:i/>
          <w:smallCaps/>
          <w:color w:val="70AD47" w:themeColor="accent6"/>
          <w:sz w:val="36"/>
          <w:szCs w:val="36"/>
        </w:rPr>
      </w:pPr>
      <w:r w:rsidRPr="00107447">
        <w:rPr>
          <w:rFonts w:ascii="Arial" w:hAnsi="Arial"/>
          <w:b/>
          <w:i/>
          <w:smallCaps/>
          <w:color w:val="70AD47" w:themeColor="accent6"/>
          <w:sz w:val="36"/>
          <w:szCs w:val="36"/>
        </w:rPr>
        <w:t>M</w:t>
      </w:r>
      <w:r w:rsidR="009524DC" w:rsidRPr="00107447">
        <w:rPr>
          <w:rFonts w:ascii="Arial" w:hAnsi="Arial"/>
          <w:b/>
          <w:i/>
          <w:smallCaps/>
          <w:color w:val="70AD47" w:themeColor="accent6"/>
          <w:sz w:val="36"/>
          <w:szCs w:val="36"/>
        </w:rPr>
        <w:t>ode d’emploi</w:t>
      </w:r>
      <w:r w:rsidR="009C5B52" w:rsidRPr="00107447">
        <w:rPr>
          <w:rFonts w:ascii="Arial" w:hAnsi="Arial"/>
          <w:b/>
          <w:i/>
          <w:smallCaps/>
          <w:color w:val="70AD47" w:themeColor="accent6"/>
          <w:sz w:val="36"/>
          <w:szCs w:val="36"/>
        </w:rPr>
        <w:t xml:space="preserve"> de la mise à disposit</w:t>
      </w:r>
      <w:r w:rsidR="007460C4" w:rsidRPr="00107447">
        <w:rPr>
          <w:rFonts w:ascii="Arial" w:hAnsi="Arial"/>
          <w:b/>
          <w:i/>
          <w:smallCaps/>
          <w:color w:val="70AD47" w:themeColor="accent6"/>
          <w:sz w:val="36"/>
          <w:szCs w:val="36"/>
        </w:rPr>
        <w:t xml:space="preserve">ion du projet de </w:t>
      </w:r>
      <w:proofErr w:type="spellStart"/>
      <w:r w:rsidR="007460C4" w:rsidRPr="00107447">
        <w:rPr>
          <w:rFonts w:ascii="Arial" w:hAnsi="Arial"/>
          <w:b/>
          <w:i/>
          <w:smallCaps/>
          <w:color w:val="70AD47" w:themeColor="accent6"/>
          <w:sz w:val="36"/>
          <w:szCs w:val="36"/>
        </w:rPr>
        <w:t>PLUi</w:t>
      </w:r>
      <w:proofErr w:type="spellEnd"/>
      <w:r w:rsidR="000B4E60">
        <w:rPr>
          <w:rFonts w:ascii="Arial" w:hAnsi="Arial"/>
          <w:b/>
          <w:i/>
          <w:smallCaps/>
          <w:color w:val="70AD47" w:themeColor="accent6"/>
          <w:sz w:val="36"/>
          <w:szCs w:val="36"/>
        </w:rPr>
        <w:t>-</w:t>
      </w:r>
      <w:r w:rsidR="001A4EE1">
        <w:rPr>
          <w:rFonts w:ascii="Arial" w:hAnsi="Arial"/>
          <w:b/>
          <w:i/>
          <w:smallCaps/>
          <w:color w:val="70AD47" w:themeColor="accent6"/>
          <w:sz w:val="36"/>
          <w:szCs w:val="36"/>
        </w:rPr>
        <w:t>Climat</w:t>
      </w:r>
    </w:p>
    <w:p w14:paraId="4E79D71E" w14:textId="77777777" w:rsidR="009524DC" w:rsidRDefault="009524DC" w:rsidP="00325506">
      <w:pPr>
        <w:spacing w:after="0" w:line="240" w:lineRule="auto"/>
        <w:rPr>
          <w:rFonts w:ascii="Arial" w:hAnsi="Arial"/>
          <w:b/>
          <w:smallCaps/>
        </w:rPr>
      </w:pPr>
    </w:p>
    <w:p w14:paraId="50A3B010" w14:textId="77777777" w:rsidR="009C5B52" w:rsidRDefault="009C5B52" w:rsidP="002A68CA">
      <w:pPr>
        <w:spacing w:after="0" w:line="240" w:lineRule="auto"/>
        <w:jc w:val="both"/>
        <w:rPr>
          <w:rFonts w:ascii="Arial" w:hAnsi="Arial"/>
          <w:b/>
          <w:smallCaps/>
        </w:rPr>
      </w:pPr>
    </w:p>
    <w:p w14:paraId="52E75825" w14:textId="6AD9B7D2" w:rsidR="009C5B52" w:rsidRDefault="006B7B8A" w:rsidP="002A68CA">
      <w:pPr>
        <w:spacing w:after="0" w:line="240" w:lineRule="auto"/>
        <w:jc w:val="both"/>
        <w:rPr>
          <w:rFonts w:ascii="Arial" w:hAnsi="Arial"/>
        </w:rPr>
      </w:pPr>
      <w:r w:rsidRPr="00F81CB9">
        <w:rPr>
          <w:rFonts w:ascii="Arial" w:hAnsi="Arial"/>
        </w:rPr>
        <w:t xml:space="preserve">Le </w:t>
      </w:r>
      <w:r w:rsidR="00F81CB9">
        <w:rPr>
          <w:rFonts w:ascii="Arial" w:hAnsi="Arial"/>
        </w:rPr>
        <w:t>P</w:t>
      </w:r>
      <w:r w:rsidRPr="00F81CB9">
        <w:rPr>
          <w:rFonts w:ascii="Arial" w:hAnsi="Arial"/>
        </w:rPr>
        <w:t xml:space="preserve">lan </w:t>
      </w:r>
      <w:r w:rsidR="00F81CB9">
        <w:rPr>
          <w:rFonts w:ascii="Arial" w:hAnsi="Arial"/>
        </w:rPr>
        <w:t>L</w:t>
      </w:r>
      <w:r w:rsidRPr="00F81CB9">
        <w:rPr>
          <w:rFonts w:ascii="Arial" w:hAnsi="Arial"/>
        </w:rPr>
        <w:t>ocal d’</w:t>
      </w:r>
      <w:r w:rsidR="00F81CB9">
        <w:rPr>
          <w:rFonts w:ascii="Arial" w:hAnsi="Arial"/>
        </w:rPr>
        <w:t>U</w:t>
      </w:r>
      <w:r w:rsidRPr="00F81CB9">
        <w:rPr>
          <w:rFonts w:ascii="Arial" w:hAnsi="Arial"/>
        </w:rPr>
        <w:t xml:space="preserve">rbanisme </w:t>
      </w:r>
      <w:r w:rsidR="00F81CB9">
        <w:rPr>
          <w:rFonts w:ascii="Arial" w:hAnsi="Arial"/>
        </w:rPr>
        <w:t>Intercommunal (</w:t>
      </w:r>
      <w:proofErr w:type="spellStart"/>
      <w:r w:rsidR="00F81CB9">
        <w:rPr>
          <w:rFonts w:ascii="Arial" w:hAnsi="Arial"/>
        </w:rPr>
        <w:t>PLUi</w:t>
      </w:r>
      <w:proofErr w:type="spellEnd"/>
      <w:r w:rsidR="00F81CB9">
        <w:rPr>
          <w:rFonts w:ascii="Arial" w:hAnsi="Arial"/>
        </w:rPr>
        <w:t xml:space="preserve">) </w:t>
      </w:r>
      <w:r w:rsidRPr="00F81CB9">
        <w:rPr>
          <w:rFonts w:ascii="Arial" w:hAnsi="Arial"/>
        </w:rPr>
        <w:t>est un document d’urbanisme qui détermine les conditions d’aména</w:t>
      </w:r>
      <w:r w:rsidR="00F81CB9">
        <w:rPr>
          <w:rFonts w:ascii="Arial" w:hAnsi="Arial"/>
        </w:rPr>
        <w:t>gement et d’utilisation des sols à l’échelle de la Métropole</w:t>
      </w:r>
      <w:r w:rsidRPr="00F81CB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634FA245" w14:textId="77777777" w:rsidR="002A68CA" w:rsidRDefault="002A68CA" w:rsidP="002A68CA">
      <w:pPr>
        <w:spacing w:after="0" w:line="240" w:lineRule="auto"/>
        <w:jc w:val="both"/>
        <w:rPr>
          <w:rFonts w:ascii="Arial" w:hAnsi="Arial"/>
        </w:rPr>
      </w:pPr>
    </w:p>
    <w:p w14:paraId="3208D4EC" w14:textId="5C2A9906" w:rsidR="006B7B8A" w:rsidRDefault="006B7B8A" w:rsidP="006B7B8A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Pr="009C5B52">
        <w:rPr>
          <w:rFonts w:ascii="Arial" w:hAnsi="Arial"/>
        </w:rPr>
        <w:t>a concertation</w:t>
      </w:r>
      <w:r>
        <w:rPr>
          <w:rFonts w:ascii="Arial" w:hAnsi="Arial"/>
        </w:rPr>
        <w:t xml:space="preserve"> est une </w:t>
      </w:r>
      <w:r w:rsidRPr="009C5B52">
        <w:rPr>
          <w:rFonts w:ascii="Arial" w:hAnsi="Arial"/>
        </w:rPr>
        <w:t>obligation règlementaire du code de l’urbanisme</w:t>
      </w:r>
      <w:r>
        <w:rPr>
          <w:rFonts w:ascii="Arial" w:hAnsi="Arial"/>
        </w:rPr>
        <w:t xml:space="preserve">. Elle a lieu tout le long de l’élaboration du </w:t>
      </w:r>
      <w:proofErr w:type="spellStart"/>
      <w:r>
        <w:rPr>
          <w:rFonts w:ascii="Arial" w:hAnsi="Arial"/>
        </w:rPr>
        <w:t>PLUi</w:t>
      </w:r>
      <w:proofErr w:type="spellEnd"/>
      <w:r>
        <w:rPr>
          <w:rFonts w:ascii="Arial" w:hAnsi="Arial"/>
        </w:rPr>
        <w:t>.</w:t>
      </w:r>
    </w:p>
    <w:p w14:paraId="746F88EF" w14:textId="2CB7FB30" w:rsidR="006B7B8A" w:rsidRDefault="006B7B8A" w:rsidP="002A68CA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42EF372" w14:textId="0977EA0E" w:rsidR="00A900BB" w:rsidRDefault="006B7B8A" w:rsidP="002A68CA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A900BB">
        <w:rPr>
          <w:rFonts w:ascii="Arial" w:hAnsi="Arial"/>
        </w:rPr>
        <w:t xml:space="preserve">es différentes pièces </w:t>
      </w:r>
      <w:r>
        <w:rPr>
          <w:rFonts w:ascii="Arial" w:hAnsi="Arial"/>
        </w:rPr>
        <w:t xml:space="preserve">du </w:t>
      </w:r>
      <w:proofErr w:type="spellStart"/>
      <w:r>
        <w:rPr>
          <w:rFonts w:ascii="Arial" w:hAnsi="Arial"/>
        </w:rPr>
        <w:t>PLUi</w:t>
      </w:r>
      <w:proofErr w:type="spellEnd"/>
      <w:r>
        <w:rPr>
          <w:rFonts w:ascii="Arial" w:hAnsi="Arial"/>
        </w:rPr>
        <w:t xml:space="preserve"> </w:t>
      </w:r>
      <w:r w:rsidR="00A900BB">
        <w:rPr>
          <w:rFonts w:ascii="Arial" w:hAnsi="Arial"/>
        </w:rPr>
        <w:t xml:space="preserve">sont mises à disposition du public au fur et à mesure de leur élaboration afin de faciliter la prise de connaissance </w:t>
      </w:r>
      <w:r>
        <w:rPr>
          <w:rFonts w:ascii="Arial" w:hAnsi="Arial"/>
        </w:rPr>
        <w:t xml:space="preserve">de </w:t>
      </w:r>
      <w:r w:rsidR="006E5322">
        <w:rPr>
          <w:rFonts w:ascii="Arial" w:hAnsi="Arial"/>
        </w:rPr>
        <w:t>leur</w:t>
      </w:r>
      <w:r>
        <w:rPr>
          <w:rFonts w:ascii="Arial" w:hAnsi="Arial"/>
        </w:rPr>
        <w:t xml:space="preserve"> contenu et de permettre au public de formuler ses observations sur le projet</w:t>
      </w:r>
      <w:r w:rsidR="00A900BB">
        <w:rPr>
          <w:rFonts w:ascii="Arial" w:hAnsi="Arial"/>
        </w:rPr>
        <w:t>.</w:t>
      </w:r>
    </w:p>
    <w:p w14:paraId="5AEFE1FC" w14:textId="77777777" w:rsidR="002A68CA" w:rsidRDefault="002A68CA" w:rsidP="002A68CA">
      <w:pPr>
        <w:spacing w:after="0" w:line="240" w:lineRule="auto"/>
        <w:jc w:val="both"/>
        <w:rPr>
          <w:rFonts w:ascii="Arial" w:hAnsi="Arial"/>
        </w:rPr>
      </w:pPr>
    </w:p>
    <w:p w14:paraId="68B25282" w14:textId="4D3C13F7" w:rsidR="002A68CA" w:rsidRDefault="005F511E" w:rsidP="002A68CA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Elles</w:t>
      </w:r>
      <w:r w:rsidR="007F4E2B" w:rsidRPr="002A68CA">
        <w:rPr>
          <w:rFonts w:ascii="Arial" w:hAnsi="Arial"/>
        </w:rPr>
        <w:t xml:space="preserve"> sont donc susceptibles d’évolu</w:t>
      </w:r>
      <w:r w:rsidR="006B7B8A">
        <w:rPr>
          <w:rFonts w:ascii="Arial" w:hAnsi="Arial"/>
        </w:rPr>
        <w:t>er</w:t>
      </w:r>
      <w:r w:rsidR="002A68CA">
        <w:rPr>
          <w:rFonts w:ascii="Arial" w:hAnsi="Arial"/>
        </w:rPr>
        <w:t xml:space="preserve"> puisqu’il s’agit d</w:t>
      </w:r>
      <w:r w:rsidR="00F81CB9">
        <w:rPr>
          <w:rFonts w:ascii="Arial" w:hAnsi="Arial"/>
        </w:rPr>
        <w:t xml:space="preserve">’y intégrer </w:t>
      </w:r>
      <w:r w:rsidR="007F4E2B" w:rsidRPr="002A68CA">
        <w:rPr>
          <w:rFonts w:ascii="Arial" w:hAnsi="Arial"/>
        </w:rPr>
        <w:t>les</w:t>
      </w:r>
      <w:r w:rsidR="002A68CA">
        <w:rPr>
          <w:rFonts w:ascii="Arial" w:hAnsi="Arial"/>
        </w:rPr>
        <w:t xml:space="preserve"> </w:t>
      </w:r>
      <w:r w:rsidR="007F4E2B" w:rsidRPr="002A68CA">
        <w:rPr>
          <w:rFonts w:ascii="Arial" w:hAnsi="Arial"/>
        </w:rPr>
        <w:t>avis et contributions</w:t>
      </w:r>
      <w:r w:rsidR="00C310A2">
        <w:rPr>
          <w:rFonts w:ascii="Arial" w:hAnsi="Arial"/>
        </w:rPr>
        <w:t xml:space="preserve"> </w:t>
      </w:r>
      <w:r w:rsidR="006B7B8A">
        <w:rPr>
          <w:rFonts w:ascii="Arial" w:hAnsi="Arial"/>
        </w:rPr>
        <w:t>du public</w:t>
      </w:r>
      <w:r w:rsidR="00C310A2">
        <w:rPr>
          <w:rFonts w:ascii="Arial" w:hAnsi="Arial"/>
        </w:rPr>
        <w:t xml:space="preserve"> et des partenaires </w:t>
      </w:r>
      <w:r w:rsidR="00F81CB9">
        <w:rPr>
          <w:rFonts w:ascii="Arial" w:hAnsi="Arial"/>
        </w:rPr>
        <w:t xml:space="preserve">institutionnels </w:t>
      </w:r>
      <w:r w:rsidR="00C310A2">
        <w:rPr>
          <w:rFonts w:ascii="Arial" w:hAnsi="Arial"/>
        </w:rPr>
        <w:t xml:space="preserve">(Etat, Région, Département, Chambres </w:t>
      </w:r>
      <w:r w:rsidR="00D3389E">
        <w:rPr>
          <w:rFonts w:ascii="Arial" w:hAnsi="Arial"/>
        </w:rPr>
        <w:t>consulaires…</w:t>
      </w:r>
      <w:r w:rsidR="00C310A2">
        <w:rPr>
          <w:rFonts w:ascii="Arial" w:hAnsi="Arial"/>
        </w:rPr>
        <w:t>)</w:t>
      </w:r>
      <w:r w:rsidR="002A68CA">
        <w:rPr>
          <w:rFonts w:ascii="Arial" w:hAnsi="Arial"/>
        </w:rPr>
        <w:t>.</w:t>
      </w:r>
    </w:p>
    <w:p w14:paraId="4ACBA2BF" w14:textId="77777777" w:rsidR="002A68CA" w:rsidRDefault="002A68CA" w:rsidP="002A68CA">
      <w:pPr>
        <w:spacing w:after="0" w:line="240" w:lineRule="auto"/>
        <w:jc w:val="both"/>
        <w:rPr>
          <w:rFonts w:ascii="Arial" w:hAnsi="Arial"/>
        </w:rPr>
      </w:pPr>
    </w:p>
    <w:p w14:paraId="237038F2" w14:textId="2D90B62A" w:rsidR="007F4E2B" w:rsidRDefault="002A68CA" w:rsidP="002A68CA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Un</w:t>
      </w:r>
      <w:r w:rsidR="007F4E2B" w:rsidRPr="002A68CA">
        <w:rPr>
          <w:rFonts w:ascii="Arial" w:hAnsi="Arial"/>
        </w:rPr>
        <w:t xml:space="preserve"> mois avant l’arrêt du projet par le conseil de métropole l’intégralité du projet </w:t>
      </w: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PLUi</w:t>
      </w:r>
      <w:proofErr w:type="spellEnd"/>
      <w:r>
        <w:rPr>
          <w:rFonts w:ascii="Arial" w:hAnsi="Arial"/>
        </w:rPr>
        <w:t xml:space="preserve"> </w:t>
      </w:r>
      <w:r w:rsidR="007F4E2B" w:rsidRPr="002A68CA">
        <w:rPr>
          <w:rFonts w:ascii="Arial" w:hAnsi="Arial"/>
        </w:rPr>
        <w:t>sera mis à disposition</w:t>
      </w:r>
      <w:r w:rsidR="00261311">
        <w:rPr>
          <w:rFonts w:ascii="Arial" w:hAnsi="Arial"/>
        </w:rPr>
        <w:t xml:space="preserve"> du public</w:t>
      </w:r>
      <w:r>
        <w:rPr>
          <w:rFonts w:ascii="Arial" w:hAnsi="Arial"/>
        </w:rPr>
        <w:t>.</w:t>
      </w:r>
    </w:p>
    <w:p w14:paraId="6539C7D5" w14:textId="77777777" w:rsidR="00325506" w:rsidRPr="002A68CA" w:rsidRDefault="00325506" w:rsidP="002A68CA">
      <w:pPr>
        <w:spacing w:after="0" w:line="240" w:lineRule="auto"/>
        <w:jc w:val="both"/>
        <w:rPr>
          <w:rFonts w:ascii="Arial" w:hAnsi="Arial"/>
        </w:rPr>
      </w:pPr>
    </w:p>
    <w:p w14:paraId="787DEC60" w14:textId="77777777" w:rsidR="00D3389E" w:rsidRDefault="00D3389E" w:rsidP="00D42F7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</w:rPr>
      </w:pPr>
      <w:r>
        <w:rPr>
          <w:rFonts w:ascii="Arial" w:hAnsi="Arial"/>
          <w:b/>
          <w:smallCaps/>
          <w:color w:val="70AD47" w:themeColor="accent6"/>
        </w:rPr>
        <w:br w:type="page"/>
      </w:r>
    </w:p>
    <w:p w14:paraId="7A6AFDF7" w14:textId="2EDC9ECF" w:rsidR="00B33EF4" w:rsidRDefault="00325506" w:rsidP="00D42F7E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</w:rPr>
      </w:pPr>
      <w:r>
        <w:rPr>
          <w:rFonts w:ascii="Arial" w:hAnsi="Arial"/>
          <w:b/>
          <w:smallCaps/>
          <w:color w:val="70AD47" w:themeColor="accent6"/>
        </w:rPr>
        <w:lastRenderedPageBreak/>
        <w:br w:type="column"/>
      </w:r>
      <w:r w:rsidR="00B33EF4">
        <w:rPr>
          <w:rFonts w:ascii="Arial" w:hAnsi="Arial"/>
          <w:b/>
          <w:smallCaps/>
          <w:color w:val="70AD47" w:themeColor="accent6"/>
        </w:rPr>
        <w:t>Les</w:t>
      </w:r>
      <w:r w:rsidR="006E5322">
        <w:rPr>
          <w:rFonts w:ascii="Arial" w:hAnsi="Arial"/>
          <w:b/>
          <w:smallCaps/>
          <w:color w:val="70AD47" w:themeColor="accent6"/>
        </w:rPr>
        <w:t xml:space="preserve"> modalités de lecture du </w:t>
      </w:r>
      <w:proofErr w:type="spellStart"/>
      <w:r w:rsidR="006E5322">
        <w:rPr>
          <w:rFonts w:ascii="Arial" w:hAnsi="Arial"/>
          <w:b/>
          <w:smallCaps/>
          <w:color w:val="70AD47" w:themeColor="accent6"/>
        </w:rPr>
        <w:t>PLUi</w:t>
      </w:r>
      <w:proofErr w:type="spellEnd"/>
      <w:r w:rsidR="006E5322">
        <w:rPr>
          <w:rFonts w:ascii="Arial" w:hAnsi="Arial"/>
          <w:b/>
          <w:smallCaps/>
          <w:color w:val="70AD47" w:themeColor="accent6"/>
        </w:rPr>
        <w:t>-</w:t>
      </w:r>
      <w:r w:rsidR="00F8617A">
        <w:rPr>
          <w:rFonts w:ascii="Arial" w:hAnsi="Arial"/>
          <w:b/>
          <w:smallCaps/>
          <w:color w:val="70AD47" w:themeColor="accent6"/>
        </w:rPr>
        <w:t>Climat</w:t>
      </w:r>
    </w:p>
    <w:p w14:paraId="759DD926" w14:textId="77777777" w:rsidR="00E50B22" w:rsidRPr="00C24D5D" w:rsidRDefault="00E50B22" w:rsidP="00E50B2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3A080B7" w14:textId="77777777" w:rsidR="00E50B22" w:rsidRPr="00922299" w:rsidRDefault="00E50B22" w:rsidP="00F66CCC">
      <w:pPr>
        <w:spacing w:after="0" w:line="240" w:lineRule="auto"/>
        <w:jc w:val="both"/>
        <w:rPr>
          <w:rFonts w:ascii="Arial" w:hAnsi="Arial" w:cs="Arial"/>
          <w:b/>
        </w:rPr>
      </w:pPr>
      <w:r w:rsidRPr="00922299">
        <w:rPr>
          <w:rFonts w:ascii="Arial" w:hAnsi="Arial" w:cs="Arial"/>
          <w:b/>
        </w:rPr>
        <w:t xml:space="preserve">Le Plan Local d’Urbanisme s’organise en cinq pièces distinctes : </w:t>
      </w:r>
    </w:p>
    <w:p w14:paraId="7F76B455" w14:textId="77777777" w:rsidR="00F162B1" w:rsidRPr="00C24D5D" w:rsidRDefault="00DB79F5" w:rsidP="00F8617A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4D5D">
        <w:rPr>
          <w:rFonts w:ascii="Arial" w:hAnsi="Arial" w:cs="Arial"/>
        </w:rPr>
        <w:t>.</w:t>
      </w:r>
      <w:r w:rsidRPr="00C24D5D">
        <w:rPr>
          <w:rFonts w:ascii="Arial" w:hAnsi="Arial" w:cs="Arial"/>
        </w:rPr>
        <w:tab/>
        <w:t xml:space="preserve">Le rapport de présentation expose </w:t>
      </w:r>
      <w:r w:rsidR="00F8617A" w:rsidRPr="00C24D5D">
        <w:rPr>
          <w:rFonts w:ascii="Arial" w:hAnsi="Arial" w:cs="Arial"/>
        </w:rPr>
        <w:t xml:space="preserve">principalement </w:t>
      </w:r>
      <w:r w:rsidRPr="00C24D5D">
        <w:rPr>
          <w:rFonts w:ascii="Arial" w:hAnsi="Arial" w:cs="Arial"/>
        </w:rPr>
        <w:t>le diagnostic territorial, l’</w:t>
      </w:r>
      <w:r w:rsidR="00AF3932" w:rsidRPr="00C24D5D">
        <w:rPr>
          <w:rFonts w:ascii="Arial" w:hAnsi="Arial" w:cs="Arial"/>
        </w:rPr>
        <w:t xml:space="preserve">évaluation </w:t>
      </w:r>
      <w:r w:rsidRPr="00C24D5D">
        <w:rPr>
          <w:rFonts w:ascii="Arial" w:hAnsi="Arial" w:cs="Arial"/>
        </w:rPr>
        <w:t>environnement</w:t>
      </w:r>
      <w:r w:rsidR="00AF3932" w:rsidRPr="00C24D5D">
        <w:rPr>
          <w:rFonts w:ascii="Arial" w:hAnsi="Arial" w:cs="Arial"/>
        </w:rPr>
        <w:t>ale</w:t>
      </w:r>
      <w:r w:rsidRPr="00C24D5D">
        <w:rPr>
          <w:rFonts w:ascii="Arial" w:hAnsi="Arial" w:cs="Arial"/>
        </w:rPr>
        <w:t xml:space="preserve"> et la justification des règles édictées par le plan.</w:t>
      </w:r>
    </w:p>
    <w:p w14:paraId="07F12881" w14:textId="77777777" w:rsidR="00DB79F5" w:rsidRPr="00C24D5D" w:rsidRDefault="00DB79F5" w:rsidP="00840514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4D5D">
        <w:rPr>
          <w:rFonts w:ascii="Arial" w:hAnsi="Arial" w:cs="Arial"/>
        </w:rPr>
        <w:t>.</w:t>
      </w:r>
      <w:r w:rsidRPr="00C24D5D">
        <w:rPr>
          <w:rFonts w:ascii="Arial" w:hAnsi="Arial" w:cs="Arial"/>
        </w:rPr>
        <w:tab/>
        <w:t>Le Projet d’Aménagement et de Développement Durable</w:t>
      </w:r>
      <w:r w:rsidR="007F4E2B" w:rsidRPr="00C24D5D">
        <w:rPr>
          <w:rFonts w:ascii="Arial" w:hAnsi="Arial" w:cs="Arial"/>
        </w:rPr>
        <w:t>s</w:t>
      </w:r>
      <w:r w:rsidRPr="00C24D5D">
        <w:rPr>
          <w:rFonts w:ascii="Arial" w:hAnsi="Arial" w:cs="Arial"/>
        </w:rPr>
        <w:t xml:space="preserve">, dit PADD, présente la stratégie territoriale et les grandes orientations de la politique urbaine de </w:t>
      </w:r>
      <w:r w:rsidR="00B33EF4" w:rsidRPr="00C24D5D">
        <w:rPr>
          <w:rFonts w:ascii="Arial" w:hAnsi="Arial" w:cs="Arial"/>
        </w:rPr>
        <w:t>la collectivité</w:t>
      </w:r>
      <w:r w:rsidRPr="00C24D5D">
        <w:rPr>
          <w:rFonts w:ascii="Arial" w:hAnsi="Arial" w:cs="Arial"/>
        </w:rPr>
        <w:t>.</w:t>
      </w:r>
    </w:p>
    <w:p w14:paraId="49AB87A6" w14:textId="2CB9EAC0" w:rsidR="00840514" w:rsidRPr="00C24D5D" w:rsidRDefault="00840514" w:rsidP="00840514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4D5D">
        <w:rPr>
          <w:rFonts w:ascii="Arial" w:hAnsi="Arial" w:cs="Arial"/>
        </w:rPr>
        <w:t>.</w:t>
      </w:r>
      <w:r w:rsidRPr="00C24D5D">
        <w:rPr>
          <w:rFonts w:ascii="Arial" w:hAnsi="Arial" w:cs="Arial"/>
        </w:rPr>
        <w:tab/>
        <w:t xml:space="preserve">Les Orientations d’Aménagement et de Programmation encadrent </w:t>
      </w:r>
      <w:r w:rsidR="005F511E" w:rsidRPr="00C24D5D">
        <w:rPr>
          <w:rFonts w:ascii="Arial" w:hAnsi="Arial" w:cs="Arial"/>
        </w:rPr>
        <w:t>ce</w:t>
      </w:r>
      <w:r w:rsidR="005F511E">
        <w:rPr>
          <w:rFonts w:ascii="Arial" w:hAnsi="Arial" w:cs="Arial"/>
        </w:rPr>
        <w:t>rtaines dispositions thématiques</w:t>
      </w:r>
      <w:r w:rsidR="0087351D">
        <w:rPr>
          <w:rFonts w:ascii="Arial" w:hAnsi="Arial" w:cs="Arial"/>
        </w:rPr>
        <w:t xml:space="preserve"> </w:t>
      </w:r>
      <w:r w:rsidR="00384A48">
        <w:rPr>
          <w:rFonts w:ascii="Arial" w:hAnsi="Arial" w:cs="Arial"/>
        </w:rPr>
        <w:t xml:space="preserve">applicables </w:t>
      </w:r>
      <w:r w:rsidR="00A62EBA">
        <w:rPr>
          <w:rFonts w:ascii="Arial" w:hAnsi="Arial" w:cs="Arial"/>
        </w:rPr>
        <w:t>à l’ensemble</w:t>
      </w:r>
      <w:r w:rsidR="00384A48">
        <w:rPr>
          <w:rFonts w:ascii="Arial" w:hAnsi="Arial" w:cs="Arial"/>
        </w:rPr>
        <w:t xml:space="preserve"> du</w:t>
      </w:r>
      <w:r w:rsidR="00A62EBA" w:rsidRPr="00C24D5D">
        <w:rPr>
          <w:rFonts w:ascii="Arial" w:hAnsi="Arial" w:cs="Arial"/>
        </w:rPr>
        <w:t xml:space="preserve"> </w:t>
      </w:r>
      <w:r w:rsidR="002A68CA" w:rsidRPr="00C24D5D">
        <w:rPr>
          <w:rFonts w:ascii="Arial" w:hAnsi="Arial" w:cs="Arial"/>
        </w:rPr>
        <w:t xml:space="preserve">territoire ainsi que </w:t>
      </w:r>
      <w:r w:rsidRPr="00C24D5D">
        <w:rPr>
          <w:rFonts w:ascii="Arial" w:hAnsi="Arial" w:cs="Arial"/>
        </w:rPr>
        <w:t>l’évolution de secteurs particuliers.</w:t>
      </w:r>
    </w:p>
    <w:p w14:paraId="547FBA47" w14:textId="7B1CC3CE" w:rsidR="00840514" w:rsidRPr="00C24D5D" w:rsidRDefault="00840514" w:rsidP="00840514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4D5D">
        <w:rPr>
          <w:rFonts w:ascii="Arial" w:hAnsi="Arial" w:cs="Arial"/>
        </w:rPr>
        <w:t>.</w:t>
      </w:r>
      <w:r w:rsidRPr="00C24D5D">
        <w:rPr>
          <w:rFonts w:ascii="Arial" w:hAnsi="Arial" w:cs="Arial"/>
        </w:rPr>
        <w:tab/>
        <w:t>Le règlement</w:t>
      </w:r>
      <w:r w:rsidR="006E5322">
        <w:rPr>
          <w:rFonts w:ascii="Arial" w:hAnsi="Arial" w:cs="Arial"/>
        </w:rPr>
        <w:t>,</w:t>
      </w:r>
      <w:r w:rsidRPr="00C24D5D">
        <w:rPr>
          <w:rFonts w:ascii="Arial" w:hAnsi="Arial" w:cs="Arial"/>
        </w:rPr>
        <w:t xml:space="preserve"> écrit et graphique</w:t>
      </w:r>
      <w:r w:rsidR="006E5322">
        <w:rPr>
          <w:rFonts w:ascii="Arial" w:hAnsi="Arial" w:cs="Arial"/>
        </w:rPr>
        <w:t>,</w:t>
      </w:r>
      <w:r w:rsidRPr="00C24D5D">
        <w:rPr>
          <w:rFonts w:ascii="Arial" w:hAnsi="Arial" w:cs="Arial"/>
        </w:rPr>
        <w:t xml:space="preserve"> définit précisément les règles applicables à chaque</w:t>
      </w:r>
      <w:r w:rsidR="00384A48">
        <w:rPr>
          <w:rFonts w:ascii="Arial" w:hAnsi="Arial" w:cs="Arial"/>
        </w:rPr>
        <w:t xml:space="preserve"> zone du </w:t>
      </w:r>
      <w:proofErr w:type="spellStart"/>
      <w:r w:rsidR="00384A48">
        <w:rPr>
          <w:rFonts w:ascii="Arial" w:hAnsi="Arial" w:cs="Arial"/>
        </w:rPr>
        <w:t>PLUi</w:t>
      </w:r>
      <w:proofErr w:type="spellEnd"/>
      <w:r w:rsidR="00384A48">
        <w:rPr>
          <w:rFonts w:ascii="Arial" w:hAnsi="Arial" w:cs="Arial"/>
        </w:rPr>
        <w:t>-Climat</w:t>
      </w:r>
      <w:r w:rsidRPr="00C24D5D">
        <w:rPr>
          <w:rFonts w:ascii="Arial" w:hAnsi="Arial" w:cs="Arial"/>
        </w:rPr>
        <w:t>.</w:t>
      </w:r>
    </w:p>
    <w:p w14:paraId="431A20DE" w14:textId="77777777" w:rsidR="00840514" w:rsidRPr="00C24D5D" w:rsidRDefault="00840514" w:rsidP="00840514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4D5D">
        <w:rPr>
          <w:rFonts w:ascii="Arial" w:hAnsi="Arial" w:cs="Arial"/>
        </w:rPr>
        <w:t>.</w:t>
      </w:r>
      <w:r w:rsidRPr="00C24D5D">
        <w:rPr>
          <w:rFonts w:ascii="Arial" w:hAnsi="Arial" w:cs="Arial"/>
        </w:rPr>
        <w:tab/>
        <w:t>Les annexes rassemblent les informations et contraintes complémentaires à prendre en compte.</w:t>
      </w:r>
    </w:p>
    <w:p w14:paraId="5C6BADC7" w14:textId="77777777" w:rsidR="00B33EF4" w:rsidRPr="00C24D5D" w:rsidRDefault="00B33EF4" w:rsidP="00B33EF4">
      <w:pPr>
        <w:spacing w:after="0" w:line="240" w:lineRule="auto"/>
        <w:jc w:val="both"/>
        <w:rPr>
          <w:rFonts w:ascii="Arial" w:hAnsi="Arial" w:cs="Arial"/>
        </w:rPr>
      </w:pPr>
    </w:p>
    <w:p w14:paraId="29F68FEC" w14:textId="77777777" w:rsidR="00DB79F5" w:rsidRPr="00922299" w:rsidRDefault="002C4167" w:rsidP="0064433E">
      <w:pPr>
        <w:spacing w:after="0" w:line="240" w:lineRule="auto"/>
        <w:jc w:val="both"/>
        <w:rPr>
          <w:rFonts w:ascii="Arial" w:hAnsi="Arial"/>
          <w:b/>
        </w:rPr>
      </w:pPr>
      <w:r w:rsidRPr="00922299">
        <w:rPr>
          <w:rFonts w:ascii="Arial" w:hAnsi="Arial"/>
          <w:b/>
        </w:rPr>
        <w:t xml:space="preserve">Quelles pièces </w:t>
      </w:r>
      <w:r w:rsidR="00F8617A" w:rsidRPr="00922299">
        <w:rPr>
          <w:rFonts w:ascii="Arial" w:hAnsi="Arial"/>
          <w:b/>
        </w:rPr>
        <w:t xml:space="preserve">du PLU consulter pour connaître </w:t>
      </w:r>
      <w:r w:rsidRPr="00922299">
        <w:rPr>
          <w:rFonts w:ascii="Arial" w:hAnsi="Arial"/>
          <w:b/>
        </w:rPr>
        <w:t xml:space="preserve">les règles d’urbanisme </w:t>
      </w:r>
      <w:r w:rsidR="00F8617A" w:rsidRPr="00922299">
        <w:rPr>
          <w:rFonts w:ascii="Arial" w:hAnsi="Arial"/>
          <w:b/>
        </w:rPr>
        <w:t>applicables</w:t>
      </w:r>
      <w:r w:rsidRPr="00922299">
        <w:rPr>
          <w:rFonts w:ascii="Arial" w:hAnsi="Arial"/>
          <w:b/>
        </w:rPr>
        <w:t xml:space="preserve"> à une parcelle ?</w:t>
      </w:r>
    </w:p>
    <w:p w14:paraId="61D11F50" w14:textId="78851C4F" w:rsidR="00C24D5D" w:rsidRPr="00C24D5D" w:rsidRDefault="002C4167" w:rsidP="00C24D5D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4D5D">
        <w:rPr>
          <w:rFonts w:ascii="Arial" w:hAnsi="Arial" w:cs="Arial"/>
        </w:rPr>
        <w:t>.</w:t>
      </w:r>
      <w:r w:rsidRPr="00C24D5D">
        <w:rPr>
          <w:rFonts w:ascii="Arial" w:hAnsi="Arial" w:cs="Arial"/>
        </w:rPr>
        <w:tab/>
        <w:t>En premier lieu, les plans de zonage du règlement permettent de situer la parcelle</w:t>
      </w:r>
      <w:r w:rsidR="00845D21" w:rsidRPr="00C24D5D">
        <w:rPr>
          <w:rFonts w:ascii="Arial" w:hAnsi="Arial" w:cs="Arial"/>
        </w:rPr>
        <w:t xml:space="preserve"> et </w:t>
      </w:r>
      <w:r w:rsidRPr="00C24D5D">
        <w:rPr>
          <w:rFonts w:ascii="Arial" w:hAnsi="Arial" w:cs="Arial"/>
        </w:rPr>
        <w:t xml:space="preserve">d’identifier </w:t>
      </w:r>
      <w:r w:rsidR="00384A48">
        <w:rPr>
          <w:rFonts w:ascii="Arial" w:hAnsi="Arial" w:cs="Arial"/>
        </w:rPr>
        <w:t>dans quelle</w:t>
      </w:r>
      <w:r w:rsidRPr="00C24D5D">
        <w:rPr>
          <w:rFonts w:ascii="Arial" w:hAnsi="Arial" w:cs="Arial"/>
        </w:rPr>
        <w:t xml:space="preserve"> zone </w:t>
      </w:r>
      <w:r w:rsidR="005F511E">
        <w:rPr>
          <w:rFonts w:ascii="Arial" w:hAnsi="Arial" w:cs="Arial"/>
        </w:rPr>
        <w:t>elle se situe.</w:t>
      </w:r>
      <w:r w:rsidR="002A68CA" w:rsidRPr="00C24D5D">
        <w:rPr>
          <w:rFonts w:ascii="Arial" w:hAnsi="Arial" w:cs="Arial"/>
        </w:rPr>
        <w:t xml:space="preserve"> Ils présentent également</w:t>
      </w:r>
      <w:r w:rsidR="00CA0B36">
        <w:rPr>
          <w:rFonts w:ascii="Arial" w:hAnsi="Arial" w:cs="Arial"/>
        </w:rPr>
        <w:t xml:space="preserve"> certaines </w:t>
      </w:r>
      <w:r w:rsidR="00384A48">
        <w:rPr>
          <w:rFonts w:ascii="Arial" w:hAnsi="Arial" w:cs="Arial"/>
        </w:rPr>
        <w:t xml:space="preserve">règles traduites graphiquement </w:t>
      </w:r>
      <w:r w:rsidR="002A68CA" w:rsidRPr="00C24D5D">
        <w:rPr>
          <w:rFonts w:ascii="Arial" w:hAnsi="Arial" w:cs="Arial"/>
        </w:rPr>
        <w:t>telles que la hauteur</w:t>
      </w:r>
      <w:r w:rsidR="007B66F8">
        <w:rPr>
          <w:rFonts w:ascii="Arial" w:hAnsi="Arial" w:cs="Arial"/>
        </w:rPr>
        <w:t>,</w:t>
      </w:r>
      <w:r w:rsidR="005F511E">
        <w:rPr>
          <w:rFonts w:ascii="Arial" w:hAnsi="Arial" w:cs="Arial"/>
        </w:rPr>
        <w:t xml:space="preserve"> l’emprise </w:t>
      </w:r>
      <w:r w:rsidR="00DA59EA">
        <w:rPr>
          <w:rFonts w:ascii="Arial" w:hAnsi="Arial" w:cs="Arial"/>
        </w:rPr>
        <w:t xml:space="preserve">bâtie et </w:t>
      </w:r>
      <w:r w:rsidR="00CE1796">
        <w:rPr>
          <w:rFonts w:ascii="Arial" w:hAnsi="Arial" w:cs="Arial"/>
        </w:rPr>
        <w:t xml:space="preserve">les espaces </w:t>
      </w:r>
      <w:r w:rsidR="00DA59EA">
        <w:rPr>
          <w:rFonts w:ascii="Arial" w:hAnsi="Arial" w:cs="Arial"/>
        </w:rPr>
        <w:t>perméables.</w:t>
      </w:r>
    </w:p>
    <w:p w14:paraId="6DF38289" w14:textId="63B0F877" w:rsidR="00EA0056" w:rsidRPr="00C24D5D" w:rsidRDefault="00C24D5D" w:rsidP="00C24D5D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4D5D">
        <w:rPr>
          <w:rFonts w:ascii="Arial" w:hAnsi="Arial" w:cs="Arial"/>
        </w:rPr>
        <w:t>.</w:t>
      </w:r>
      <w:r w:rsidRPr="00C24D5D">
        <w:rPr>
          <w:rFonts w:ascii="Arial" w:hAnsi="Arial" w:cs="Arial"/>
        </w:rPr>
        <w:tab/>
        <w:t>En</w:t>
      </w:r>
      <w:r w:rsidR="002C4167" w:rsidRPr="00C24D5D">
        <w:rPr>
          <w:rFonts w:ascii="Arial" w:hAnsi="Arial" w:cs="Arial"/>
        </w:rPr>
        <w:t xml:space="preserve"> second lieu, le règlement écri</w:t>
      </w:r>
      <w:r w:rsidR="009526DF" w:rsidRPr="00C24D5D">
        <w:rPr>
          <w:rFonts w:ascii="Arial" w:hAnsi="Arial" w:cs="Arial"/>
        </w:rPr>
        <w:t xml:space="preserve">t édicte les différentes règles </w:t>
      </w:r>
      <w:r w:rsidR="002C4167" w:rsidRPr="00C24D5D">
        <w:rPr>
          <w:rFonts w:ascii="Arial" w:hAnsi="Arial" w:cs="Arial"/>
        </w:rPr>
        <w:t xml:space="preserve">qui </w:t>
      </w:r>
      <w:r w:rsidR="00384A48">
        <w:rPr>
          <w:rFonts w:ascii="Arial" w:hAnsi="Arial" w:cs="Arial"/>
        </w:rPr>
        <w:t>s’appliquent à la zone dans laquelle se situe la parcelle</w:t>
      </w:r>
      <w:r w:rsidR="005F511E">
        <w:rPr>
          <w:rFonts w:ascii="Arial" w:hAnsi="Arial" w:cs="Arial"/>
        </w:rPr>
        <w:t xml:space="preserve">. </w:t>
      </w:r>
      <w:r w:rsidR="00EA0056" w:rsidRPr="00C24D5D">
        <w:rPr>
          <w:rFonts w:ascii="Arial" w:hAnsi="Arial" w:cs="Arial"/>
        </w:rPr>
        <w:t>Il convient de consulter à la fois les dispositions communes à toutes les zones et celles propres à la zone concernée.</w:t>
      </w:r>
    </w:p>
    <w:p w14:paraId="31E3B276" w14:textId="444D0D85" w:rsidR="00D73998" w:rsidRPr="00C24D5D" w:rsidRDefault="00EA0056" w:rsidP="00C24D5D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4D5D">
        <w:rPr>
          <w:rFonts w:ascii="Arial" w:hAnsi="Arial" w:cs="Arial"/>
        </w:rPr>
        <w:t>.</w:t>
      </w:r>
      <w:r w:rsidRPr="00C24D5D">
        <w:rPr>
          <w:rFonts w:ascii="Arial" w:hAnsi="Arial" w:cs="Arial"/>
        </w:rPr>
        <w:tab/>
        <w:t xml:space="preserve">Ensuite, il </w:t>
      </w:r>
      <w:r w:rsidR="00F66CCC" w:rsidRPr="00C24D5D">
        <w:rPr>
          <w:rFonts w:ascii="Arial" w:hAnsi="Arial" w:cs="Arial"/>
        </w:rPr>
        <w:t>importe</w:t>
      </w:r>
      <w:r w:rsidRPr="00C24D5D">
        <w:rPr>
          <w:rFonts w:ascii="Arial" w:hAnsi="Arial" w:cs="Arial"/>
        </w:rPr>
        <w:t xml:space="preserve"> de se référer aux orientations</w:t>
      </w:r>
      <w:r w:rsidR="002C4167" w:rsidRPr="00C24D5D">
        <w:rPr>
          <w:rFonts w:ascii="Arial" w:hAnsi="Arial" w:cs="Arial"/>
        </w:rPr>
        <w:t xml:space="preserve"> </w:t>
      </w:r>
      <w:r w:rsidRPr="00C24D5D">
        <w:rPr>
          <w:rFonts w:ascii="Arial" w:hAnsi="Arial" w:cs="Arial"/>
        </w:rPr>
        <w:t>d’aménagement et de programmation</w:t>
      </w:r>
      <w:r w:rsidR="00F66CCC" w:rsidRPr="00C24D5D">
        <w:rPr>
          <w:rFonts w:ascii="Arial" w:hAnsi="Arial" w:cs="Arial"/>
        </w:rPr>
        <w:t xml:space="preserve">. </w:t>
      </w:r>
      <w:r w:rsidR="00F8617A" w:rsidRPr="00C24D5D">
        <w:rPr>
          <w:rFonts w:ascii="Arial" w:hAnsi="Arial" w:cs="Arial"/>
        </w:rPr>
        <w:t>Lorsque</w:t>
      </w:r>
      <w:r w:rsidR="00F66CCC" w:rsidRPr="00C24D5D">
        <w:rPr>
          <w:rFonts w:ascii="Arial" w:hAnsi="Arial" w:cs="Arial"/>
        </w:rPr>
        <w:t xml:space="preserve"> </w:t>
      </w:r>
      <w:r w:rsidR="00B33EF4" w:rsidRPr="00C24D5D">
        <w:rPr>
          <w:rFonts w:ascii="Arial" w:hAnsi="Arial" w:cs="Arial"/>
        </w:rPr>
        <w:t xml:space="preserve">la parcelle est concernée par l’une </w:t>
      </w:r>
      <w:r w:rsidR="00F8617A" w:rsidRPr="00C24D5D">
        <w:rPr>
          <w:rFonts w:ascii="Arial" w:hAnsi="Arial" w:cs="Arial"/>
        </w:rPr>
        <w:t xml:space="preserve">d’entre </w:t>
      </w:r>
      <w:r w:rsidR="00B33EF4" w:rsidRPr="00C24D5D">
        <w:rPr>
          <w:rFonts w:ascii="Arial" w:hAnsi="Arial" w:cs="Arial"/>
        </w:rPr>
        <w:t>elle</w:t>
      </w:r>
      <w:r w:rsidR="00F8617A" w:rsidRPr="00C24D5D">
        <w:rPr>
          <w:rFonts w:ascii="Arial" w:hAnsi="Arial" w:cs="Arial"/>
        </w:rPr>
        <w:t>s</w:t>
      </w:r>
      <w:r w:rsidR="00B33EF4" w:rsidRPr="00C24D5D">
        <w:rPr>
          <w:rFonts w:ascii="Arial" w:hAnsi="Arial" w:cs="Arial"/>
        </w:rPr>
        <w:t>, tout</w:t>
      </w:r>
      <w:r w:rsidR="00D73998" w:rsidRPr="00C24D5D">
        <w:rPr>
          <w:rFonts w:ascii="Arial" w:hAnsi="Arial" w:cs="Arial"/>
        </w:rPr>
        <w:t xml:space="preserve"> projet </w:t>
      </w:r>
      <w:r w:rsidR="00B33EF4" w:rsidRPr="00C24D5D">
        <w:rPr>
          <w:rFonts w:ascii="Arial" w:hAnsi="Arial" w:cs="Arial"/>
        </w:rPr>
        <w:t>devra</w:t>
      </w:r>
      <w:r w:rsidR="00D73998" w:rsidRPr="00C24D5D">
        <w:rPr>
          <w:rFonts w:ascii="Arial" w:hAnsi="Arial" w:cs="Arial"/>
        </w:rPr>
        <w:t xml:space="preserve"> </w:t>
      </w:r>
      <w:r w:rsidR="00B658B3" w:rsidRPr="00C24D5D">
        <w:rPr>
          <w:rFonts w:ascii="Arial" w:hAnsi="Arial" w:cs="Arial"/>
        </w:rPr>
        <w:t xml:space="preserve">lui </w:t>
      </w:r>
      <w:r w:rsidR="00D73998" w:rsidRPr="00C24D5D">
        <w:rPr>
          <w:rFonts w:ascii="Arial" w:hAnsi="Arial" w:cs="Arial"/>
        </w:rPr>
        <w:t>être compatible.</w:t>
      </w:r>
    </w:p>
    <w:p w14:paraId="074239E7" w14:textId="28C69E77" w:rsidR="002C4167" w:rsidRPr="00C24D5D" w:rsidRDefault="00D73998" w:rsidP="00C24D5D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24D5D">
        <w:rPr>
          <w:rFonts w:ascii="Arial" w:hAnsi="Arial" w:cs="Arial"/>
        </w:rPr>
        <w:t>.</w:t>
      </w:r>
      <w:r w:rsidRPr="00C24D5D">
        <w:rPr>
          <w:rFonts w:ascii="Arial" w:hAnsi="Arial" w:cs="Arial"/>
        </w:rPr>
        <w:tab/>
        <w:t>Enfin, les annexes</w:t>
      </w:r>
      <w:r w:rsidR="007565D9" w:rsidRPr="00C24D5D">
        <w:rPr>
          <w:rFonts w:ascii="Arial" w:hAnsi="Arial" w:cs="Arial"/>
        </w:rPr>
        <w:t xml:space="preserve"> permettent d’identifier</w:t>
      </w:r>
      <w:r w:rsidR="00B33EF4" w:rsidRPr="00C24D5D">
        <w:rPr>
          <w:rFonts w:ascii="Arial" w:hAnsi="Arial" w:cs="Arial"/>
        </w:rPr>
        <w:t xml:space="preserve"> les servitudes </w:t>
      </w:r>
      <w:r w:rsidR="007565D9" w:rsidRPr="00C24D5D">
        <w:rPr>
          <w:rFonts w:ascii="Arial" w:hAnsi="Arial" w:cs="Arial"/>
        </w:rPr>
        <w:t xml:space="preserve">d’utilité publiques </w:t>
      </w:r>
      <w:r w:rsidR="00F8617A" w:rsidRPr="00C24D5D">
        <w:rPr>
          <w:rFonts w:ascii="Arial" w:hAnsi="Arial" w:cs="Arial"/>
        </w:rPr>
        <w:t xml:space="preserve">et autres contraintes </w:t>
      </w:r>
      <w:r w:rsidR="00B33EF4" w:rsidRPr="00C24D5D">
        <w:rPr>
          <w:rFonts w:ascii="Arial" w:hAnsi="Arial" w:cs="Arial"/>
        </w:rPr>
        <w:t xml:space="preserve">qui </w:t>
      </w:r>
      <w:r w:rsidR="007565D9" w:rsidRPr="00C24D5D">
        <w:rPr>
          <w:rFonts w:ascii="Arial" w:hAnsi="Arial" w:cs="Arial"/>
        </w:rPr>
        <w:t>g</w:t>
      </w:r>
      <w:r w:rsidR="00B33EF4" w:rsidRPr="00C24D5D">
        <w:rPr>
          <w:rFonts w:ascii="Arial" w:hAnsi="Arial" w:cs="Arial"/>
        </w:rPr>
        <w:t>rèvent éventuellement</w:t>
      </w:r>
      <w:r w:rsidR="007565D9" w:rsidRPr="00C24D5D">
        <w:rPr>
          <w:rFonts w:ascii="Arial" w:hAnsi="Arial" w:cs="Arial"/>
        </w:rPr>
        <w:t xml:space="preserve"> </w:t>
      </w:r>
      <w:r w:rsidR="00384A48">
        <w:rPr>
          <w:rFonts w:ascii="Arial" w:hAnsi="Arial" w:cs="Arial"/>
        </w:rPr>
        <w:t>la</w:t>
      </w:r>
      <w:r w:rsidR="00384A48" w:rsidRPr="00C24D5D">
        <w:rPr>
          <w:rFonts w:ascii="Arial" w:hAnsi="Arial" w:cs="Arial"/>
        </w:rPr>
        <w:t xml:space="preserve"> </w:t>
      </w:r>
      <w:r w:rsidR="007565D9" w:rsidRPr="00C24D5D">
        <w:rPr>
          <w:rFonts w:ascii="Arial" w:hAnsi="Arial" w:cs="Arial"/>
        </w:rPr>
        <w:t>parcelle.</w:t>
      </w:r>
    </w:p>
    <w:p w14:paraId="12B40F03" w14:textId="77777777" w:rsidR="00DB79F5" w:rsidRPr="00C24D5D" w:rsidRDefault="00DB79F5" w:rsidP="0064433E">
      <w:pPr>
        <w:spacing w:after="0" w:line="240" w:lineRule="auto"/>
        <w:jc w:val="both"/>
        <w:rPr>
          <w:rFonts w:ascii="Arial" w:hAnsi="Arial"/>
        </w:rPr>
      </w:pPr>
    </w:p>
    <w:p w14:paraId="434BA803" w14:textId="77777777" w:rsidR="00CB2D8F" w:rsidRDefault="00CB2D8F" w:rsidP="0087351D">
      <w:pPr>
        <w:pStyle w:val="Sansinterligne"/>
        <w:sectPr w:rsidR="00CB2D8F" w:rsidSect="003744B1">
          <w:footerReference w:type="default" r:id="rId9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5E2B49A" w14:textId="19DA1C89" w:rsidR="009524DC" w:rsidRDefault="009524DC" w:rsidP="0087351D">
      <w:pPr>
        <w:pStyle w:val="Sansinterligne"/>
        <w:rPr>
          <w:rFonts w:ascii="Arial" w:hAnsi="Arial"/>
          <w:b/>
          <w:smallCaps/>
          <w:color w:val="70AD47" w:themeColor="accent6"/>
        </w:rPr>
      </w:pPr>
      <w:r w:rsidRPr="009524DC">
        <w:rPr>
          <w:rFonts w:ascii="Arial" w:hAnsi="Arial"/>
          <w:b/>
          <w:smallCaps/>
          <w:color w:val="70AD47" w:themeColor="accent6"/>
        </w:rPr>
        <w:lastRenderedPageBreak/>
        <w:t xml:space="preserve">L’actualité </w:t>
      </w:r>
      <w:r w:rsidR="001A6624">
        <w:rPr>
          <w:rFonts w:ascii="Arial" w:hAnsi="Arial"/>
          <w:b/>
          <w:smallCaps/>
          <w:color w:val="70AD47" w:themeColor="accent6"/>
        </w:rPr>
        <w:t xml:space="preserve">du </w:t>
      </w:r>
      <w:proofErr w:type="spellStart"/>
      <w:r w:rsidR="001A6624">
        <w:rPr>
          <w:rFonts w:ascii="Arial" w:hAnsi="Arial"/>
          <w:b/>
          <w:smallCaps/>
          <w:color w:val="70AD47" w:themeColor="accent6"/>
        </w:rPr>
        <w:t>PLUi</w:t>
      </w:r>
      <w:proofErr w:type="spellEnd"/>
      <w:r w:rsidR="001A6624">
        <w:rPr>
          <w:rFonts w:ascii="Arial" w:hAnsi="Arial"/>
          <w:b/>
          <w:smallCaps/>
          <w:color w:val="70AD47" w:themeColor="accent6"/>
        </w:rPr>
        <w:t xml:space="preserve"> et </w:t>
      </w:r>
      <w:r w:rsidR="00AE3AE8">
        <w:rPr>
          <w:rFonts w:ascii="Arial" w:hAnsi="Arial"/>
          <w:b/>
          <w:smallCaps/>
          <w:color w:val="70AD47" w:themeColor="accent6"/>
        </w:rPr>
        <w:t>d</w:t>
      </w:r>
      <w:r w:rsidRPr="009524DC">
        <w:rPr>
          <w:rFonts w:ascii="Arial" w:hAnsi="Arial"/>
          <w:b/>
          <w:smallCaps/>
          <w:color w:val="70AD47" w:themeColor="accent6"/>
        </w:rPr>
        <w:t xml:space="preserve">e la </w:t>
      </w:r>
      <w:r w:rsidR="00CA0B36">
        <w:rPr>
          <w:rFonts w:ascii="Arial" w:hAnsi="Arial"/>
          <w:b/>
          <w:smallCaps/>
          <w:color w:val="70AD47" w:themeColor="accent6"/>
        </w:rPr>
        <w:t>mise à disposition</w:t>
      </w:r>
    </w:p>
    <w:p w14:paraId="32AF3ECB" w14:textId="0E094679" w:rsidR="00F64455" w:rsidRDefault="00F64455" w:rsidP="0087351D">
      <w:pPr>
        <w:pStyle w:val="Sansinterligne"/>
        <w:rPr>
          <w:rFonts w:ascii="Arial" w:hAnsi="Arial"/>
          <w:b/>
          <w:smallCaps/>
          <w:color w:val="70AD47" w:themeColor="accent6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5219"/>
        <w:gridCol w:w="2742"/>
      </w:tblGrid>
      <w:tr w:rsidR="00F64455" w:rsidRPr="00F64455" w14:paraId="5A9C6C7A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A611CD8" w14:textId="77777777" w:rsidR="00F64455" w:rsidRPr="00F64455" w:rsidRDefault="00F64455" w:rsidP="00F6445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6445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Eléments mis à disposition jusqu'à présent</w:t>
            </w:r>
          </w:p>
        </w:tc>
      </w:tr>
      <w:tr w:rsidR="00F64455" w:rsidRPr="00F64455" w14:paraId="66BDDDA9" w14:textId="77777777" w:rsidTr="00F64455">
        <w:trPr>
          <w:trHeight w:val="30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6547" w14:textId="77777777" w:rsidR="00F64455" w:rsidRPr="00F64455" w:rsidRDefault="00F64455" w:rsidP="006E5322">
            <w:pPr>
              <w:spacing w:after="0" w:line="240" w:lineRule="auto"/>
              <w:ind w:left="20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Relatifs au diagnostic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3048" w14:textId="77777777" w:rsidR="00F64455" w:rsidRPr="00F64455" w:rsidRDefault="00F64455" w:rsidP="006E5322">
            <w:pPr>
              <w:spacing w:after="0" w:line="240" w:lineRule="auto"/>
              <w:ind w:left="1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Etat initial de l'environnement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50BAD" w14:textId="77777777" w:rsidR="00F64455" w:rsidRPr="00F64455" w:rsidRDefault="00F64455" w:rsidP="00F6445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Version 15 mars 2019</w:t>
            </w:r>
          </w:p>
        </w:tc>
      </w:tr>
      <w:tr w:rsidR="00F64455" w:rsidRPr="00F64455" w14:paraId="32D9B977" w14:textId="77777777" w:rsidTr="00F64455">
        <w:trPr>
          <w:trHeight w:val="30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993A" w14:textId="77777777" w:rsidR="00F64455" w:rsidRPr="00F64455" w:rsidRDefault="00F64455" w:rsidP="00F6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1112" w14:textId="307D772C" w:rsidR="00F64455" w:rsidRPr="00F64455" w:rsidRDefault="00F64455" w:rsidP="006E5322">
            <w:pPr>
              <w:spacing w:after="0" w:line="240" w:lineRule="auto"/>
              <w:ind w:leftChars="59" w:left="130" w:firstLine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Approches paysagères des </w:t>
            </w:r>
            <w:r w:rsidR="00D01659"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espaces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agro-naturels</w:t>
            </w:r>
            <w:r w:rsidR="00DC3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par secteur 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7D8EC" w14:textId="77777777" w:rsidR="00F64455" w:rsidRPr="00F64455" w:rsidRDefault="00F64455" w:rsidP="00F6445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Version novembre 2019</w:t>
            </w:r>
          </w:p>
        </w:tc>
      </w:tr>
      <w:tr w:rsidR="00F64455" w:rsidRPr="00F64455" w14:paraId="287FD76B" w14:textId="77777777" w:rsidTr="00F64455">
        <w:trPr>
          <w:trHeight w:val="30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DB00" w14:textId="77777777" w:rsidR="00F64455" w:rsidRPr="00F64455" w:rsidRDefault="00F64455" w:rsidP="00F6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87DC" w14:textId="690747E7" w:rsidR="00F64455" w:rsidRPr="00F64455" w:rsidRDefault="00F64455" w:rsidP="006E5322">
            <w:pPr>
              <w:spacing w:after="0" w:line="240" w:lineRule="auto"/>
              <w:ind w:leftChars="59" w:left="130" w:firstLine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Analyse</w:t>
            </w:r>
            <w:r w:rsidR="00DC3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64CE2"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typo morph</w:t>
            </w:r>
            <w:r w:rsidR="00B6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olog</w:t>
            </w:r>
            <w:r w:rsidR="00B64CE2"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iqu</w:t>
            </w:r>
            <w:r w:rsidR="00B64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des tissus urbains</w:t>
            </w:r>
            <w:r w:rsidR="00DC3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par secteur 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DC3D" w14:textId="77777777" w:rsidR="00F64455" w:rsidRPr="00F64455" w:rsidRDefault="00F64455" w:rsidP="00F6445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Version novembre 2019</w:t>
            </w:r>
          </w:p>
        </w:tc>
      </w:tr>
      <w:tr w:rsidR="00F64455" w:rsidRPr="00F64455" w14:paraId="7C17B52F" w14:textId="77777777" w:rsidTr="00F64455">
        <w:trPr>
          <w:trHeight w:val="31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F3BF" w14:textId="77777777" w:rsidR="00F64455" w:rsidRPr="00F64455" w:rsidRDefault="00F64455" w:rsidP="00F6445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Relatifs au PADD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1FD" w14:textId="706C441C" w:rsidR="00F64455" w:rsidRPr="00F64455" w:rsidRDefault="00F64455" w:rsidP="006E5322">
            <w:pPr>
              <w:spacing w:after="0" w:line="240" w:lineRule="auto"/>
              <w:ind w:leftChars="59" w:left="130" w:firstLine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</w:t>
            </w:r>
            <w:r w:rsidR="0069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rojet d’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</w:t>
            </w:r>
            <w:r w:rsidR="0069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ménagement et de 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</w:t>
            </w:r>
            <w:r w:rsidR="0069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éveloppement 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</w:t>
            </w:r>
            <w:r w:rsidR="0069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urables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D6CB" w14:textId="77777777" w:rsidR="00F64455" w:rsidRDefault="00F64455" w:rsidP="00F6445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Version 19 juillet 2018</w:t>
            </w:r>
          </w:p>
          <w:p w14:paraId="19D0BC44" w14:textId="77777777" w:rsidR="00DB1057" w:rsidRDefault="00DB1057" w:rsidP="00F6445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Version 17 janvier 2023</w:t>
            </w:r>
          </w:p>
          <w:p w14:paraId="3B8F1B51" w14:textId="7D2544E3" w:rsidR="00DB1057" w:rsidRPr="00F64455" w:rsidRDefault="00DB1057" w:rsidP="00F6445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3596" w:rsidRPr="00F64455" w14:paraId="65F55546" w14:textId="77777777" w:rsidTr="00F64455">
        <w:trPr>
          <w:trHeight w:val="31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65C1" w14:textId="77777777" w:rsidR="009A3596" w:rsidRPr="00D872FB" w:rsidRDefault="009A3596" w:rsidP="00F6445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872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Orientations d’Aménagement et de Programmation </w:t>
            </w:r>
          </w:p>
          <w:p w14:paraId="57753D6F" w14:textId="1E555F22" w:rsidR="009A3596" w:rsidRPr="00D872FB" w:rsidRDefault="009A3596" w:rsidP="00F6445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F54D" w14:textId="614AA29C" w:rsidR="00010EBD" w:rsidRDefault="00010EBD" w:rsidP="00FE21EE">
            <w:pPr>
              <w:spacing w:after="0" w:line="240" w:lineRule="auto"/>
              <w:ind w:right="-283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</w:t>
            </w:r>
            <w:r w:rsidR="00FE21E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Orientations d’Aménagement et de </w:t>
            </w:r>
          </w:p>
          <w:p w14:paraId="47C2A8FC" w14:textId="1D090469" w:rsidR="00207A7F" w:rsidRPr="00207A7F" w:rsidRDefault="00FE21EE" w:rsidP="00FE21EE">
            <w:pPr>
              <w:spacing w:after="0" w:line="240" w:lineRule="auto"/>
              <w:ind w:right="-283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Programmation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8DD95" w14:textId="77777777" w:rsidR="00AC3230" w:rsidRDefault="009A3596" w:rsidP="009F669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872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Version </w:t>
            </w:r>
            <w:r w:rsidR="009F6696" w:rsidRPr="00D872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août</w:t>
            </w:r>
            <w:r w:rsidRPr="00D872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2023</w:t>
            </w:r>
          </w:p>
          <w:p w14:paraId="11D9A756" w14:textId="25FD75E9" w:rsidR="009A3596" w:rsidRPr="00D872FB" w:rsidRDefault="007D46D7" w:rsidP="009F669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Version décembre 2023</w:t>
            </w:r>
          </w:p>
        </w:tc>
      </w:tr>
      <w:tr w:rsidR="00F64455" w:rsidRPr="00F64455" w14:paraId="6456BC17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348EC635" w14:textId="68A405EF" w:rsidR="00F64455" w:rsidRPr="00F64455" w:rsidRDefault="00F64455" w:rsidP="00DB105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6445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Eléments règlementaires mis à disposition </w:t>
            </w:r>
            <w:r w:rsidR="000C03D4" w:rsidRPr="00F6445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jusqu'à présent</w:t>
            </w:r>
          </w:p>
        </w:tc>
      </w:tr>
      <w:tr w:rsidR="00F64455" w:rsidRPr="00F64455" w14:paraId="3F2E2141" w14:textId="77777777" w:rsidTr="00F64455">
        <w:trPr>
          <w:trHeight w:val="51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9A37" w14:textId="77777777" w:rsidR="00F64455" w:rsidRPr="00F64455" w:rsidRDefault="00F64455" w:rsidP="006E5322">
            <w:pPr>
              <w:spacing w:after="0" w:line="240" w:lineRule="auto"/>
              <w:ind w:leftChars="91" w:left="208" w:hangingChars="4" w:hanging="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Dispositions principales 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B2457" w14:textId="169A2E02" w:rsidR="00F64455" w:rsidRPr="00F64455" w:rsidRDefault="00F64455" w:rsidP="00F24BE7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Lexique</w:t>
            </w:r>
            <w:r w:rsidR="00182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0C0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Dispos</w:t>
            </w:r>
            <w:r w:rsidR="00F2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itions communes sur la hauteur ainsi que </w:t>
            </w:r>
            <w:r w:rsidR="000C0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sur le stationnement véhicules motorisés et le stationnement vélos, </w:t>
            </w:r>
            <w:r w:rsidR="00182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Inventaire du Patrimoine végétal (Espaces Boisés Classés,</w:t>
            </w:r>
            <w:r w:rsidR="00182432"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Espaces Verts à Protéger</w:t>
            </w:r>
            <w:r w:rsidR="00182432" w:rsidRPr="009F66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,…), Inventaire des Périmètres d’Attente de Projet d’Aménagement Global</w:t>
            </w:r>
            <w:r w:rsidR="00DB1057" w:rsidRPr="009F66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r w:rsidR="00720A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Espaces </w:t>
            </w:r>
            <w:proofErr w:type="spellStart"/>
            <w:r w:rsidR="00720A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Minimun</w:t>
            </w:r>
            <w:proofErr w:type="spellEnd"/>
            <w:r w:rsidR="00720A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Bon Fonctionnement</w:t>
            </w:r>
            <w:r w:rsidR="00B136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les changements de destination</w:t>
            </w:r>
            <w:r w:rsidR="00720A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182432" w:rsidRPr="00F64455" w14:paraId="019A0424" w14:textId="77777777" w:rsidTr="00182432">
        <w:trPr>
          <w:trHeight w:val="298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728A" w14:textId="05D334EF" w:rsidR="00182432" w:rsidRPr="00F64455" w:rsidRDefault="00182432" w:rsidP="00182432">
            <w:pPr>
              <w:spacing w:after="0" w:line="240" w:lineRule="auto"/>
              <w:ind w:leftChars="91" w:left="208" w:hangingChars="4" w:hanging="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Relatifs au zones urbaines U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4EF857" w14:textId="12A274E4" w:rsidR="00182432" w:rsidRPr="00F64455" w:rsidRDefault="00182432" w:rsidP="00182432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Délimitation graphique des zones urbaines U</w:t>
            </w:r>
          </w:p>
        </w:tc>
      </w:tr>
      <w:tr w:rsidR="00182432" w:rsidRPr="00F64455" w14:paraId="32B9281E" w14:textId="77777777" w:rsidTr="00182432">
        <w:trPr>
          <w:trHeight w:val="261"/>
        </w:trPr>
        <w:tc>
          <w:tcPr>
            <w:tcW w:w="2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E80057" w14:textId="77777777" w:rsidR="00182432" w:rsidRPr="00F64455" w:rsidRDefault="00182432" w:rsidP="00182432">
            <w:pPr>
              <w:spacing w:after="0" w:line="240" w:lineRule="auto"/>
              <w:ind w:leftChars="91" w:left="208" w:hangingChars="4" w:hanging="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61CB18" w14:textId="7D6B0DEA" w:rsidR="00182432" w:rsidRPr="00F64455" w:rsidRDefault="00182432" w:rsidP="00182432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1: Types d’usages, affectation des sols, constructions et activités interdits</w:t>
            </w:r>
          </w:p>
        </w:tc>
      </w:tr>
      <w:tr w:rsidR="00182432" w:rsidRPr="00F64455" w14:paraId="6315164B" w14:textId="77777777" w:rsidTr="002B6355">
        <w:trPr>
          <w:trHeight w:val="510"/>
        </w:trPr>
        <w:tc>
          <w:tcPr>
            <w:tcW w:w="2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36DC1C" w14:textId="77777777" w:rsidR="00182432" w:rsidRPr="00F64455" w:rsidRDefault="00182432" w:rsidP="00182432">
            <w:pPr>
              <w:spacing w:after="0" w:line="240" w:lineRule="auto"/>
              <w:ind w:leftChars="91" w:left="208" w:hangingChars="4" w:hanging="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6FBC2" w14:textId="0F01C7F7" w:rsidR="00182432" w:rsidRPr="00F64455" w:rsidRDefault="00182432" w:rsidP="00182432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2 : Types d’usages, affectations des sols, constructions et activités autorisés soumis à des conditions particulières</w:t>
            </w:r>
          </w:p>
        </w:tc>
      </w:tr>
      <w:tr w:rsidR="007D46D7" w:rsidRPr="00F64455" w14:paraId="3AF25617" w14:textId="77777777" w:rsidTr="00BE133E">
        <w:trPr>
          <w:trHeight w:val="510"/>
        </w:trPr>
        <w:tc>
          <w:tcPr>
            <w:tcW w:w="2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FD9DBE" w14:textId="77777777" w:rsidR="007D46D7" w:rsidRPr="00F64455" w:rsidRDefault="007D46D7" w:rsidP="007D46D7">
            <w:pPr>
              <w:spacing w:after="0" w:line="240" w:lineRule="auto"/>
              <w:ind w:leftChars="91" w:left="208" w:hangingChars="4" w:hanging="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9738B" w14:textId="6FF4774F" w:rsidR="007D46D7" w:rsidRPr="00F64455" w:rsidRDefault="007D46D7" w:rsidP="007D46D7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3 : Dispositions en faveur de la mixité sociale</w:t>
            </w:r>
          </w:p>
        </w:tc>
      </w:tr>
      <w:tr w:rsidR="007D46D7" w:rsidRPr="00F64455" w14:paraId="64F75BDC" w14:textId="77777777" w:rsidTr="002B6355">
        <w:trPr>
          <w:trHeight w:val="300"/>
        </w:trPr>
        <w:tc>
          <w:tcPr>
            <w:tcW w:w="2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7BE99FF" w14:textId="0B7DECE0" w:rsidR="007D46D7" w:rsidRPr="00F64455" w:rsidRDefault="007D46D7" w:rsidP="007D46D7">
            <w:pPr>
              <w:spacing w:after="0" w:line="240" w:lineRule="auto"/>
              <w:ind w:leftChars="91" w:left="208" w:hangingChars="4" w:hanging="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AE3F" w14:textId="7092A66C" w:rsidR="007D46D7" w:rsidRPr="00F64455" w:rsidRDefault="007D46D7" w:rsidP="007D46D7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Article 4 : Emprise </w:t>
            </w:r>
          </w:p>
        </w:tc>
      </w:tr>
      <w:tr w:rsidR="007D46D7" w:rsidRPr="00F64455" w14:paraId="2637EB7A" w14:textId="77777777" w:rsidTr="002B6355">
        <w:trPr>
          <w:trHeight w:val="300"/>
        </w:trPr>
        <w:tc>
          <w:tcPr>
            <w:tcW w:w="2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08BF0E0" w14:textId="77777777" w:rsidR="007D46D7" w:rsidRPr="00F64455" w:rsidRDefault="007D46D7" w:rsidP="007D4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46EB6" w14:textId="475931FE" w:rsidR="007D46D7" w:rsidRPr="00F64455" w:rsidRDefault="007D46D7" w:rsidP="007D46D7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5 : Implantation des constructions par rapport aux voies et emprises publiques</w:t>
            </w:r>
          </w:p>
        </w:tc>
      </w:tr>
      <w:tr w:rsidR="007D46D7" w:rsidRPr="00F64455" w14:paraId="4C8EEC98" w14:textId="77777777" w:rsidTr="002B6355">
        <w:trPr>
          <w:trHeight w:val="300"/>
        </w:trPr>
        <w:tc>
          <w:tcPr>
            <w:tcW w:w="2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A515E81" w14:textId="77777777" w:rsidR="007D46D7" w:rsidRPr="00F64455" w:rsidRDefault="007D46D7" w:rsidP="007D4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35F62" w14:textId="7797CFAE" w:rsidR="007D46D7" w:rsidRPr="00F64455" w:rsidRDefault="007D46D7" w:rsidP="007D46D7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6 : Implantation des constructions par rapport aux limites séparatives</w:t>
            </w:r>
          </w:p>
        </w:tc>
      </w:tr>
      <w:tr w:rsidR="007D46D7" w:rsidRPr="00F64455" w14:paraId="2A229BA2" w14:textId="77777777" w:rsidTr="002B6355">
        <w:trPr>
          <w:trHeight w:val="300"/>
        </w:trPr>
        <w:tc>
          <w:tcPr>
            <w:tcW w:w="2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21773B0" w14:textId="77777777" w:rsidR="007D46D7" w:rsidRPr="00F64455" w:rsidRDefault="007D46D7" w:rsidP="007D4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DF310" w14:textId="2E5C16BE" w:rsidR="007D46D7" w:rsidRPr="00F64455" w:rsidRDefault="007D46D7" w:rsidP="007D46D7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7 : Implantation des constructions les unes par rapport aux autres sur une même propriété</w:t>
            </w:r>
          </w:p>
        </w:tc>
      </w:tr>
      <w:tr w:rsidR="007D46D7" w:rsidRPr="00F64455" w14:paraId="7B6F7786" w14:textId="77777777" w:rsidTr="002B6355">
        <w:trPr>
          <w:trHeight w:val="300"/>
        </w:trPr>
        <w:tc>
          <w:tcPr>
            <w:tcW w:w="2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CB96235" w14:textId="77777777" w:rsidR="007D46D7" w:rsidRPr="00F64455" w:rsidRDefault="007D46D7" w:rsidP="007D4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94240" w14:textId="684C9B6E" w:rsidR="007D46D7" w:rsidRPr="00F64455" w:rsidRDefault="007D46D7" w:rsidP="007D46D7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8 : Hauteur maximale des constructions</w:t>
            </w:r>
          </w:p>
        </w:tc>
      </w:tr>
      <w:tr w:rsidR="007D46D7" w:rsidRPr="00F64455" w14:paraId="46754CC9" w14:textId="77777777" w:rsidTr="002B6355">
        <w:trPr>
          <w:trHeight w:val="300"/>
        </w:trPr>
        <w:tc>
          <w:tcPr>
            <w:tcW w:w="21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94D8E" w14:textId="77777777" w:rsidR="007D46D7" w:rsidRPr="00F64455" w:rsidRDefault="007D46D7" w:rsidP="007D4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146C8" w14:textId="68566F03" w:rsidR="007D46D7" w:rsidRPr="00F64455" w:rsidRDefault="007D46D7" w:rsidP="007D46D7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11 : Traitement environnemental et paysager des espaces non bâtis et abords des constructions</w:t>
            </w:r>
          </w:p>
        </w:tc>
      </w:tr>
      <w:tr w:rsidR="007D46D7" w:rsidRPr="00F64455" w14:paraId="0A6B1757" w14:textId="77777777" w:rsidTr="00182432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F849A" w14:textId="663D8756" w:rsidR="007D46D7" w:rsidRPr="00F64455" w:rsidRDefault="007D46D7" w:rsidP="007D46D7">
            <w:pPr>
              <w:spacing w:after="0" w:line="240" w:lineRule="auto"/>
              <w:ind w:leftChars="91" w:left="208" w:hangingChars="4" w:hanging="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Relatifs au</w:t>
            </w:r>
            <w:r w:rsidR="00B13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  <w:r w:rsidRPr="00F64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zones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à urbaniser AU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5EC9A8" w14:textId="79A76D26" w:rsidR="007D46D7" w:rsidRPr="00F64455" w:rsidRDefault="007D46D7" w:rsidP="007D46D7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Délimitation graphique des zones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à urbaniser A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</w:t>
            </w:r>
          </w:p>
        </w:tc>
      </w:tr>
      <w:tr w:rsidR="00720A99" w:rsidRPr="00F64455" w14:paraId="69C6B047" w14:textId="77777777" w:rsidTr="00410B20">
        <w:trPr>
          <w:trHeight w:val="30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30A605D" w14:textId="131DADF7" w:rsidR="00720A99" w:rsidRPr="00F64455" w:rsidRDefault="00720A99" w:rsidP="00B13693">
            <w:pPr>
              <w:spacing w:after="0" w:line="240" w:lineRule="auto"/>
              <w:ind w:leftChars="91" w:left="208" w:hangingChars="4" w:hanging="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Relatifs au</w:t>
            </w:r>
            <w:r w:rsidR="00B13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  <w:r w:rsidRPr="00F64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zones </w:t>
            </w:r>
            <w:r w:rsidR="00B13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Agricoles et Naturelles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FA9EC" w14:textId="366EE9B7" w:rsidR="00720A99" w:rsidRPr="00F64455" w:rsidRDefault="00720A99" w:rsidP="00B13693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Délimitation graphique des zones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</w:t>
            </w:r>
            <w:r w:rsidR="00B136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gricoles 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  <w:r w:rsidR="00B136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aturelles</w:t>
            </w:r>
          </w:p>
        </w:tc>
      </w:tr>
      <w:tr w:rsidR="00720A99" w:rsidRPr="00F64455" w14:paraId="1727C323" w14:textId="77777777" w:rsidTr="00163E12">
        <w:trPr>
          <w:trHeight w:val="300"/>
        </w:trPr>
        <w:tc>
          <w:tcPr>
            <w:tcW w:w="21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5423C9" w14:textId="77777777" w:rsidR="00720A99" w:rsidRPr="00F64455" w:rsidRDefault="00720A99" w:rsidP="00720A99">
            <w:pPr>
              <w:spacing w:after="0" w:line="240" w:lineRule="auto"/>
              <w:ind w:leftChars="91" w:left="208" w:hangingChars="4" w:hanging="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D9987" w14:textId="3ABD6C83" w:rsidR="00720A99" w:rsidRPr="00F64455" w:rsidRDefault="00720A99" w:rsidP="00720A99">
            <w:pPr>
              <w:spacing w:after="0" w:line="240" w:lineRule="auto"/>
              <w:ind w:leftChars="94" w:left="2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136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Articles 1, 2, 4, 5,</w:t>
            </w:r>
            <w:r w:rsidR="000D7875" w:rsidRPr="00B136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20A99" w:rsidRPr="00F64455" w14:paraId="5E973A80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14:paraId="30D10AC7" w14:textId="62578F0B" w:rsidR="00720A99" w:rsidRPr="00F64455" w:rsidRDefault="00720A99" w:rsidP="00720A9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6445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Eléments règlementaires mis à disposition ultérieurement</w:t>
            </w:r>
          </w:p>
        </w:tc>
      </w:tr>
      <w:tr w:rsidR="00720A99" w:rsidRPr="00F64455" w14:paraId="2888DF9D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E0D81" w14:textId="0A3DBCC8" w:rsidR="00720A99" w:rsidRPr="00F64455" w:rsidRDefault="00720A99" w:rsidP="00720A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d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ispositions communes à toutes les zones</w:t>
            </w:r>
          </w:p>
        </w:tc>
      </w:tr>
      <w:tr w:rsidR="00720A99" w:rsidRPr="00F64455" w14:paraId="19F9B103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74408" w14:textId="41EA9270" w:rsidR="00720A99" w:rsidRPr="00F64455" w:rsidRDefault="00720A99" w:rsidP="00D23F2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Dispositions et zonages relatifs aux zones à urbaniser AU</w:t>
            </w:r>
          </w:p>
        </w:tc>
      </w:tr>
      <w:tr w:rsidR="00D23F2A" w:rsidRPr="00F64455" w14:paraId="0C86AC8E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30E324" w14:textId="0B4CEAF6" w:rsidR="00D23F2A" w:rsidRPr="00F64455" w:rsidRDefault="00D23F2A" w:rsidP="00D23F2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3 : Dispositions en faveur de la mixité sociale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(carte des secteurs d’application)</w:t>
            </w:r>
          </w:p>
        </w:tc>
      </w:tr>
      <w:tr w:rsidR="00720A99" w:rsidRPr="00F64455" w14:paraId="4136D824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66CC1" w14:textId="6298E149" w:rsidR="00720A99" w:rsidRPr="00F64455" w:rsidRDefault="00720A99" w:rsidP="00720A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Article 9.1 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ègles relatives à l’aspect extérieurs des constructions</w:t>
            </w:r>
          </w:p>
        </w:tc>
      </w:tr>
      <w:tr w:rsidR="00720A99" w:rsidRPr="00F64455" w14:paraId="02076A77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EC779" w14:textId="77777777" w:rsidR="00720A99" w:rsidRPr="00F64455" w:rsidRDefault="00720A99" w:rsidP="00720A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9.2 : Prescriptions en matière de patrimoine urbain</w:t>
            </w:r>
          </w:p>
        </w:tc>
      </w:tr>
      <w:tr w:rsidR="00720A99" w:rsidRPr="00F64455" w14:paraId="25F382E0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C144B" w14:textId="77777777" w:rsidR="00720A99" w:rsidRPr="00F64455" w:rsidRDefault="00720A99" w:rsidP="00720A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10 : Performances énergétiques et environnementales</w:t>
            </w:r>
          </w:p>
        </w:tc>
      </w:tr>
      <w:tr w:rsidR="00720A99" w:rsidRPr="00F64455" w14:paraId="6F134B41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09F13" w14:textId="77A89A9A" w:rsidR="00720A99" w:rsidRPr="00F64455" w:rsidRDefault="00720A99" w:rsidP="00720A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12 : Règles relatives au stationnement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(carte des secteurs d’application)</w:t>
            </w:r>
          </w:p>
        </w:tc>
      </w:tr>
      <w:tr w:rsidR="00720A99" w:rsidRPr="00F64455" w14:paraId="41A910B4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3EE48" w14:textId="7DFF377A" w:rsidR="00720A99" w:rsidRPr="00F64455" w:rsidRDefault="00720A99" w:rsidP="00720A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Conditions de desserte des terrains par les voies publiques ou privées</w:t>
            </w:r>
          </w:p>
        </w:tc>
      </w:tr>
      <w:tr w:rsidR="00720A99" w:rsidRPr="00F64455" w14:paraId="3AD6BD20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AF506" w14:textId="2E160324" w:rsidR="00720A99" w:rsidRPr="00F64455" w:rsidRDefault="00720A99" w:rsidP="00720A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Article 14 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Conditions de desserte des terrains par les réseaux publics</w:t>
            </w:r>
            <w:r w:rsidRPr="00F64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20A99" w:rsidRPr="00F64455" w14:paraId="030EF8B8" w14:textId="77777777" w:rsidTr="00F64455">
        <w:trPr>
          <w:trHeight w:val="3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F17480" w14:textId="25E0A69F" w:rsidR="00720A99" w:rsidRPr="00F64455" w:rsidRDefault="00720A99" w:rsidP="00720A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Article 15 : Infrastructures, réseaux de télécommunications et communications électroniques</w:t>
            </w:r>
          </w:p>
        </w:tc>
      </w:tr>
      <w:tr w:rsidR="00720A99" w:rsidRPr="00F64455" w14:paraId="7D5D2EEC" w14:textId="77777777" w:rsidTr="00F64455">
        <w:trPr>
          <w:trHeight w:val="315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9DF217" w14:textId="0E0E3817" w:rsidR="00720A99" w:rsidRPr="00F64455" w:rsidRDefault="00720A99" w:rsidP="00720A9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</w:tbl>
    <w:p w14:paraId="14E156D8" w14:textId="77777777" w:rsidR="00F64455" w:rsidRDefault="00F64455" w:rsidP="0087351D">
      <w:pPr>
        <w:pStyle w:val="Sansinterligne"/>
        <w:rPr>
          <w:rFonts w:ascii="Arial" w:hAnsi="Arial"/>
          <w:b/>
          <w:smallCaps/>
          <w:color w:val="70AD47" w:themeColor="accent6"/>
        </w:rPr>
      </w:pPr>
    </w:p>
    <w:p w14:paraId="7E7A9D49" w14:textId="183C7E0C" w:rsidR="00601709" w:rsidRDefault="00601709" w:rsidP="0087351D">
      <w:pPr>
        <w:pStyle w:val="Sansinterligne"/>
        <w:rPr>
          <w:rFonts w:ascii="Arial" w:hAnsi="Arial"/>
          <w:b/>
          <w:smallCaps/>
          <w:color w:val="70AD47" w:themeColor="accent6"/>
        </w:rPr>
      </w:pPr>
    </w:p>
    <w:p w14:paraId="63BC52B9" w14:textId="77777777" w:rsidR="00601709" w:rsidRPr="009524DC" w:rsidRDefault="00601709" w:rsidP="0087351D">
      <w:pPr>
        <w:pStyle w:val="Sansinterligne"/>
        <w:rPr>
          <w:rFonts w:ascii="Arial" w:hAnsi="Arial"/>
          <w:b/>
          <w:smallCaps/>
          <w:color w:val="70AD47" w:themeColor="accent6"/>
        </w:rPr>
      </w:pPr>
    </w:p>
    <w:p w14:paraId="0A787245" w14:textId="77777777" w:rsidR="00601709" w:rsidRDefault="00601709" w:rsidP="00376119">
      <w:pPr>
        <w:spacing w:after="0" w:line="240" w:lineRule="auto"/>
        <w:jc w:val="both"/>
        <w:rPr>
          <w:rFonts w:ascii="Arial" w:hAnsi="Arial"/>
        </w:rPr>
        <w:sectPr w:rsidR="00601709" w:rsidSect="006017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518AE8" w14:textId="469C78EA" w:rsidR="00CB2D8F" w:rsidRDefault="00CB2D8F" w:rsidP="00601709">
      <w:pPr>
        <w:pStyle w:val="Sansinterligne"/>
        <w:jc w:val="both"/>
        <w:rPr>
          <w:rFonts w:ascii="Arial" w:hAnsi="Arial"/>
          <w:b/>
          <w:smallCaps/>
          <w:color w:val="70AD47" w:themeColor="accent6"/>
        </w:rPr>
      </w:pPr>
      <w:r>
        <w:rPr>
          <w:rFonts w:ascii="Arial" w:hAnsi="Arial"/>
          <w:b/>
          <w:smallCaps/>
          <w:color w:val="70AD47" w:themeColor="accent6"/>
        </w:rPr>
        <w:t>Précisions</w:t>
      </w:r>
    </w:p>
    <w:p w14:paraId="682D7AA5" w14:textId="77777777" w:rsidR="00601709" w:rsidRDefault="00601709" w:rsidP="00601709">
      <w:pPr>
        <w:spacing w:after="0" w:line="240" w:lineRule="auto"/>
        <w:jc w:val="both"/>
        <w:rPr>
          <w:rFonts w:ascii="Arial" w:hAnsi="Arial"/>
        </w:rPr>
      </w:pPr>
    </w:p>
    <w:p w14:paraId="1F6BAACC" w14:textId="20E2867F" w:rsidR="00BA7C1A" w:rsidRDefault="00601709" w:rsidP="0060170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Durant la phase de concertation, </w:t>
      </w:r>
      <w:r w:rsidR="00BA7C1A">
        <w:rPr>
          <w:rFonts w:ascii="Arial" w:hAnsi="Arial"/>
        </w:rPr>
        <w:t>l</w:t>
      </w:r>
      <w:r>
        <w:rPr>
          <w:rFonts w:ascii="Arial" w:hAnsi="Arial"/>
        </w:rPr>
        <w:t>’ensemble de</w:t>
      </w:r>
      <w:r w:rsidR="00FB2EF7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BA7C1A">
        <w:rPr>
          <w:rFonts w:ascii="Arial" w:hAnsi="Arial"/>
        </w:rPr>
        <w:t>observations et avis</w:t>
      </w:r>
      <w:r>
        <w:rPr>
          <w:rFonts w:ascii="Arial" w:hAnsi="Arial"/>
        </w:rPr>
        <w:t xml:space="preserve"> seront </w:t>
      </w:r>
      <w:r w:rsidR="00BA7C1A">
        <w:rPr>
          <w:rFonts w:ascii="Arial" w:hAnsi="Arial"/>
        </w:rPr>
        <w:t>enregistrés</w:t>
      </w:r>
      <w:r>
        <w:rPr>
          <w:rFonts w:ascii="Arial" w:hAnsi="Arial"/>
        </w:rPr>
        <w:t xml:space="preserve"> et étudiés</w:t>
      </w:r>
      <w:r w:rsidR="00BA7C1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BA7C1A">
        <w:rPr>
          <w:rFonts w:ascii="Arial" w:hAnsi="Arial"/>
        </w:rPr>
        <w:t xml:space="preserve">Lors de l’arrêt du projet de PLU, un bilan de la concertation sera tiré par le Conseil de Métropole. </w:t>
      </w:r>
    </w:p>
    <w:p w14:paraId="33C70A6C" w14:textId="291A38B5" w:rsidR="00601709" w:rsidRPr="00B658B3" w:rsidRDefault="00BA7C1A" w:rsidP="0060170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C’est ainsi à l’issue de l’élaboration du </w:t>
      </w:r>
      <w:proofErr w:type="spellStart"/>
      <w:r>
        <w:rPr>
          <w:rFonts w:ascii="Arial" w:hAnsi="Arial"/>
        </w:rPr>
        <w:t>PLUi</w:t>
      </w:r>
      <w:proofErr w:type="spellEnd"/>
      <w:r>
        <w:rPr>
          <w:rFonts w:ascii="Arial" w:hAnsi="Arial"/>
        </w:rPr>
        <w:t xml:space="preserve"> que les habitants pourront prendre connaissance des réponses apportées à leur observation et avis. Le projet de </w:t>
      </w:r>
      <w:proofErr w:type="spellStart"/>
      <w:r>
        <w:rPr>
          <w:rFonts w:ascii="Arial" w:hAnsi="Arial"/>
        </w:rPr>
        <w:t>PLUi</w:t>
      </w:r>
      <w:proofErr w:type="spellEnd"/>
      <w:r>
        <w:rPr>
          <w:rFonts w:ascii="Arial" w:hAnsi="Arial"/>
        </w:rPr>
        <w:t xml:space="preserve"> étant un projet global devant concilier l’ensemble des avis, aucune réponse individuelle ne sera formulée.</w:t>
      </w:r>
    </w:p>
    <w:p w14:paraId="254E0FCD" w14:textId="77777777" w:rsidR="00601709" w:rsidRPr="00601709" w:rsidRDefault="00601709" w:rsidP="00601709">
      <w:pPr>
        <w:pStyle w:val="Sansinterligne"/>
        <w:jc w:val="both"/>
        <w:rPr>
          <w:rFonts w:ascii="Arial" w:hAnsi="Arial"/>
          <w:smallCaps/>
        </w:rPr>
      </w:pPr>
    </w:p>
    <w:p w14:paraId="26398EB4" w14:textId="6CF1178F" w:rsidR="00601709" w:rsidRPr="00601709" w:rsidRDefault="00F56FDE" w:rsidP="0060170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Parallèlement à l’élaboration du </w:t>
      </w:r>
      <w:proofErr w:type="spellStart"/>
      <w:r>
        <w:rPr>
          <w:rFonts w:ascii="Arial" w:eastAsia="Times New Roman" w:hAnsi="Arial" w:cs="Arial"/>
          <w:lang w:eastAsia="fr-FR"/>
        </w:rPr>
        <w:t>PLUi</w:t>
      </w:r>
      <w:proofErr w:type="spellEnd"/>
      <w:r>
        <w:rPr>
          <w:rFonts w:ascii="Arial" w:eastAsia="Times New Roman" w:hAnsi="Arial" w:cs="Arial"/>
          <w:lang w:eastAsia="fr-FR"/>
        </w:rPr>
        <w:t xml:space="preserve">, l’ensemble des </w:t>
      </w:r>
      <w:r w:rsidR="00F64455">
        <w:rPr>
          <w:rFonts w:ascii="Arial" w:eastAsia="Times New Roman" w:hAnsi="Arial" w:cs="Arial"/>
          <w:lang w:eastAsia="fr-FR"/>
        </w:rPr>
        <w:t>servitudes d'utilité publique</w:t>
      </w:r>
      <w:r>
        <w:rPr>
          <w:rFonts w:ascii="Arial" w:eastAsia="Times New Roman" w:hAnsi="Arial" w:cs="Arial"/>
          <w:lang w:eastAsia="fr-FR"/>
        </w:rPr>
        <w:t xml:space="preserve"> (PPRI, PPRIF, …) restent en vigueur et figureront en</w:t>
      </w:r>
      <w:r w:rsidR="00FB2EF7">
        <w:rPr>
          <w:rFonts w:ascii="Arial" w:eastAsia="Times New Roman" w:hAnsi="Arial" w:cs="Arial"/>
          <w:lang w:eastAsia="fr-FR"/>
        </w:rPr>
        <w:t xml:space="preserve"> annexe du </w:t>
      </w:r>
      <w:proofErr w:type="spellStart"/>
      <w:r w:rsidR="00FB2EF7">
        <w:rPr>
          <w:rFonts w:ascii="Arial" w:eastAsia="Times New Roman" w:hAnsi="Arial" w:cs="Arial"/>
          <w:lang w:eastAsia="fr-FR"/>
        </w:rPr>
        <w:t>PLUi</w:t>
      </w:r>
      <w:proofErr w:type="spellEnd"/>
      <w:r w:rsidR="00FB2EF7">
        <w:rPr>
          <w:rFonts w:ascii="Arial" w:eastAsia="Times New Roman" w:hAnsi="Arial" w:cs="Arial"/>
          <w:lang w:eastAsia="fr-FR"/>
        </w:rPr>
        <w:t>.</w:t>
      </w:r>
    </w:p>
    <w:p w14:paraId="42A01956" w14:textId="77777777" w:rsidR="00601709" w:rsidRDefault="00601709" w:rsidP="00601709">
      <w:pPr>
        <w:spacing w:after="0" w:line="240" w:lineRule="auto"/>
        <w:jc w:val="both"/>
        <w:rPr>
          <w:rFonts w:ascii="Arial" w:hAnsi="Arial" w:cs="Arial"/>
        </w:rPr>
      </w:pPr>
    </w:p>
    <w:p w14:paraId="59F4C072" w14:textId="38B8FE7C" w:rsidR="00097F95" w:rsidRDefault="00F64455" w:rsidP="006017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01709">
        <w:rPr>
          <w:rFonts w:ascii="Arial" w:hAnsi="Arial" w:cs="Arial"/>
        </w:rPr>
        <w:t xml:space="preserve">our les 30 communes hors Montpellier, le règlement comprend </w:t>
      </w:r>
      <w:r w:rsidR="00D23F2A">
        <w:rPr>
          <w:rFonts w:ascii="Arial" w:hAnsi="Arial" w:cs="Arial"/>
        </w:rPr>
        <w:t>trois</w:t>
      </w:r>
      <w:r w:rsidR="00601709">
        <w:rPr>
          <w:rFonts w:ascii="Arial" w:hAnsi="Arial" w:cs="Arial"/>
        </w:rPr>
        <w:t xml:space="preserve"> planches graphiques :</w:t>
      </w:r>
    </w:p>
    <w:p w14:paraId="1EA6E425" w14:textId="522B9C81" w:rsidR="00097F95" w:rsidRDefault="00601709" w:rsidP="006017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7F9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la première pr</w:t>
      </w:r>
      <w:r w:rsidR="00097F95">
        <w:rPr>
          <w:rFonts w:ascii="Arial" w:hAnsi="Arial" w:cs="Arial"/>
        </w:rPr>
        <w:t>ésente le zonage</w:t>
      </w:r>
      <w:r w:rsidR="00D23F2A">
        <w:rPr>
          <w:rFonts w:ascii="Arial" w:hAnsi="Arial" w:cs="Arial"/>
        </w:rPr>
        <w:t xml:space="preserve"> U-AU</w:t>
      </w:r>
      <w:r w:rsidR="00097F95">
        <w:rPr>
          <w:rFonts w:ascii="Arial" w:hAnsi="Arial" w:cs="Arial"/>
        </w:rPr>
        <w:t>, les hauteurs,</w:t>
      </w:r>
      <w:r>
        <w:rPr>
          <w:rFonts w:ascii="Arial" w:hAnsi="Arial" w:cs="Arial"/>
        </w:rPr>
        <w:t xml:space="preserve"> les limites de référence</w:t>
      </w:r>
      <w:r w:rsidR="00097F95">
        <w:rPr>
          <w:rFonts w:ascii="Arial" w:hAnsi="Arial" w:cs="Arial"/>
        </w:rPr>
        <w:t xml:space="preserve"> ainsi que les inven</w:t>
      </w:r>
      <w:r w:rsidR="00D23F2A">
        <w:rPr>
          <w:rFonts w:ascii="Arial" w:hAnsi="Arial" w:cs="Arial"/>
        </w:rPr>
        <w:t xml:space="preserve">taires du patrimoine végétal, </w:t>
      </w:r>
      <w:r w:rsidR="00097F95">
        <w:rPr>
          <w:rFonts w:ascii="Arial" w:hAnsi="Arial" w:cs="Arial"/>
        </w:rPr>
        <w:t>des terrains urbains cultivés</w:t>
      </w:r>
      <w:r w:rsidR="00D23F2A">
        <w:rPr>
          <w:rFonts w:ascii="Arial" w:hAnsi="Arial" w:cs="Arial"/>
        </w:rPr>
        <w:t xml:space="preserve"> et des Espaces </w:t>
      </w:r>
      <w:proofErr w:type="spellStart"/>
      <w:r w:rsidR="00D23F2A">
        <w:rPr>
          <w:rFonts w:ascii="Arial" w:hAnsi="Arial" w:cs="Arial"/>
        </w:rPr>
        <w:t>Minimun</w:t>
      </w:r>
      <w:proofErr w:type="spellEnd"/>
      <w:r w:rsidR="00D23F2A">
        <w:rPr>
          <w:rFonts w:ascii="Arial" w:hAnsi="Arial" w:cs="Arial"/>
        </w:rPr>
        <w:t xml:space="preserve"> de Bon Fonctionnement</w:t>
      </w:r>
      <w:r w:rsidR="00097F95">
        <w:rPr>
          <w:rFonts w:ascii="Arial" w:hAnsi="Arial" w:cs="Arial"/>
        </w:rPr>
        <w:t> ;</w:t>
      </w:r>
    </w:p>
    <w:p w14:paraId="3446DEB5" w14:textId="69DFFE0A" w:rsidR="00D23F2A" w:rsidRDefault="00097F95" w:rsidP="006017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01709">
        <w:rPr>
          <w:rFonts w:ascii="Arial" w:hAnsi="Arial" w:cs="Arial"/>
        </w:rPr>
        <w:t xml:space="preserve"> la </w:t>
      </w:r>
      <w:r w:rsidR="00D23F2A">
        <w:rPr>
          <w:rFonts w:ascii="Arial" w:hAnsi="Arial" w:cs="Arial"/>
        </w:rPr>
        <w:t>deuxième</w:t>
      </w:r>
      <w:r w:rsidR="00601709">
        <w:rPr>
          <w:rFonts w:ascii="Arial" w:hAnsi="Arial" w:cs="Arial"/>
        </w:rPr>
        <w:t>,</w:t>
      </w:r>
      <w:r w:rsidR="00D23F2A" w:rsidRPr="00D23F2A">
        <w:rPr>
          <w:rFonts w:ascii="Arial" w:hAnsi="Arial" w:cs="Arial"/>
        </w:rPr>
        <w:t xml:space="preserve"> </w:t>
      </w:r>
      <w:r w:rsidR="00D23F2A">
        <w:rPr>
          <w:rFonts w:ascii="Arial" w:hAnsi="Arial" w:cs="Arial"/>
        </w:rPr>
        <w:t xml:space="preserve">le zonage U-AU, </w:t>
      </w:r>
      <w:r w:rsidR="00601709">
        <w:rPr>
          <w:rFonts w:ascii="Arial" w:hAnsi="Arial" w:cs="Arial"/>
        </w:rPr>
        <w:t>les emprises bâties et les espaces perméables</w:t>
      </w:r>
      <w:r w:rsidRPr="00097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ainsi que l’inventaire des périmètres d’attente de projet d’aménagement global</w:t>
      </w:r>
      <w:r w:rsidR="00D23F2A">
        <w:rPr>
          <w:rFonts w:ascii="Arial" w:hAnsi="Arial" w:cs="Arial"/>
        </w:rPr>
        <w:t xml:space="preserve"> ; </w:t>
      </w:r>
    </w:p>
    <w:p w14:paraId="11717216" w14:textId="5BCC9658" w:rsidR="00E32561" w:rsidRDefault="00D23F2A" w:rsidP="006017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la troisième, le zonage A-N, les Espaces Minimum de Bon Fonctionnement et les changements de destination.</w:t>
      </w:r>
    </w:p>
    <w:p w14:paraId="0F281F9A" w14:textId="77777777" w:rsidR="00097F95" w:rsidRDefault="00097F95" w:rsidP="00601709">
      <w:pPr>
        <w:spacing w:after="0" w:line="240" w:lineRule="auto"/>
        <w:jc w:val="both"/>
        <w:rPr>
          <w:rFonts w:ascii="Arial" w:hAnsi="Arial" w:cs="Arial"/>
        </w:rPr>
      </w:pPr>
    </w:p>
    <w:p w14:paraId="7173361B" w14:textId="77777777" w:rsidR="00D23F2A" w:rsidRDefault="00601709" w:rsidP="006017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Montpellier, </w:t>
      </w:r>
      <w:r w:rsidR="00D23F2A">
        <w:rPr>
          <w:rFonts w:ascii="Arial" w:hAnsi="Arial" w:cs="Arial"/>
        </w:rPr>
        <w:t>le règlement comprend trois planches graphiques :</w:t>
      </w:r>
    </w:p>
    <w:p w14:paraId="12F8D95A" w14:textId="22C857C3" w:rsidR="00601709" w:rsidRDefault="00D23F2A" w:rsidP="00D1712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</w:rPr>
      </w:pPr>
      <w:r w:rsidRPr="00D17129">
        <w:rPr>
          <w:rFonts w:ascii="Arial" w:hAnsi="Arial" w:cs="Arial"/>
        </w:rPr>
        <w:t>La première planche</w:t>
      </w:r>
      <w:r w:rsidR="002B02D8">
        <w:rPr>
          <w:rFonts w:ascii="Arial" w:hAnsi="Arial" w:cs="Arial"/>
        </w:rPr>
        <w:t>, à l’échelle de chaque quartier,</w:t>
      </w:r>
      <w:r w:rsidRPr="00D17129">
        <w:rPr>
          <w:rFonts w:ascii="Arial" w:hAnsi="Arial" w:cs="Arial"/>
        </w:rPr>
        <w:t xml:space="preserve"> présente </w:t>
      </w:r>
      <w:r w:rsidR="00097F95" w:rsidRPr="00D17129">
        <w:rPr>
          <w:rFonts w:ascii="Arial" w:hAnsi="Arial" w:cs="Arial"/>
        </w:rPr>
        <w:t xml:space="preserve">le zonage, les hauteurs, </w:t>
      </w:r>
      <w:r w:rsidR="00601709" w:rsidRPr="00D17129">
        <w:rPr>
          <w:rFonts w:ascii="Arial" w:hAnsi="Arial" w:cs="Arial"/>
        </w:rPr>
        <w:t>les limites de référence</w:t>
      </w:r>
      <w:r w:rsidR="00097F95" w:rsidRPr="00D17129">
        <w:rPr>
          <w:rFonts w:ascii="Arial" w:hAnsi="Arial" w:cs="Arial"/>
        </w:rPr>
        <w:t xml:space="preserve">, </w:t>
      </w:r>
      <w:r w:rsidR="008B5556" w:rsidRPr="00D17129">
        <w:rPr>
          <w:rFonts w:ascii="Arial" w:hAnsi="Arial" w:cs="Arial"/>
        </w:rPr>
        <w:t>les inventaires du patrimoine végétal</w:t>
      </w:r>
      <w:r w:rsidR="00D17129">
        <w:rPr>
          <w:rFonts w:ascii="Arial" w:hAnsi="Arial" w:cs="Arial"/>
        </w:rPr>
        <w:t xml:space="preserve">, </w:t>
      </w:r>
      <w:proofErr w:type="gramStart"/>
      <w:r w:rsidR="008B5556" w:rsidRPr="00D17129">
        <w:rPr>
          <w:rFonts w:ascii="Arial" w:hAnsi="Arial" w:cs="Arial"/>
        </w:rPr>
        <w:t xml:space="preserve">des </w:t>
      </w:r>
      <w:r w:rsidRPr="00D17129">
        <w:rPr>
          <w:rFonts w:ascii="Arial" w:hAnsi="Arial" w:cs="Arial"/>
        </w:rPr>
        <w:t>espaces minimum</w:t>
      </w:r>
      <w:proofErr w:type="gramEnd"/>
      <w:r w:rsidRPr="00D17129">
        <w:rPr>
          <w:rFonts w:ascii="Arial" w:hAnsi="Arial" w:cs="Arial"/>
        </w:rPr>
        <w:t xml:space="preserve"> de bon fonctionnement,</w:t>
      </w:r>
      <w:r w:rsidR="00D17129" w:rsidRPr="00D17129">
        <w:rPr>
          <w:rFonts w:ascii="Arial" w:hAnsi="Arial" w:cs="Arial"/>
        </w:rPr>
        <w:t xml:space="preserve"> des périmètres d’attente de projet d’aménagement global, ainsi que de</w:t>
      </w:r>
      <w:r w:rsidRPr="00D17129">
        <w:rPr>
          <w:rFonts w:ascii="Arial" w:hAnsi="Arial" w:cs="Arial"/>
        </w:rPr>
        <w:t>s changements de destination</w:t>
      </w:r>
      <w:r w:rsidR="00601709" w:rsidRPr="00D17129">
        <w:rPr>
          <w:rFonts w:ascii="Arial" w:hAnsi="Arial" w:cs="Arial"/>
        </w:rPr>
        <w:t>. Les emprises bâties et les espaces perméables sont définis dans le règlement écrit</w:t>
      </w:r>
      <w:r w:rsidR="00D17129">
        <w:rPr>
          <w:rFonts w:ascii="Arial" w:hAnsi="Arial" w:cs="Arial"/>
        </w:rPr>
        <w:t> ;</w:t>
      </w:r>
    </w:p>
    <w:p w14:paraId="369622CA" w14:textId="3C447857" w:rsidR="002B02D8" w:rsidRPr="002B02D8" w:rsidRDefault="00D17129" w:rsidP="002B02D8">
      <w:pPr>
        <w:pStyle w:val="Paragraphedeliste"/>
        <w:numPr>
          <w:ilvl w:val="0"/>
          <w:numId w:val="12"/>
        </w:numPr>
        <w:jc w:val="both"/>
        <w:rPr>
          <w:rFonts w:ascii="Arial" w:hAnsi="Arial"/>
          <w:smallCaps/>
        </w:rPr>
      </w:pPr>
      <w:r>
        <w:rPr>
          <w:rFonts w:ascii="Arial" w:hAnsi="Arial" w:cs="Arial"/>
        </w:rPr>
        <w:t xml:space="preserve">La </w:t>
      </w:r>
      <w:r w:rsidR="002B02D8">
        <w:rPr>
          <w:rFonts w:ascii="Arial" w:hAnsi="Arial" w:cs="Arial"/>
        </w:rPr>
        <w:t>deuxième planche, à l’échelle de chaque quartier,</w:t>
      </w:r>
      <w:r>
        <w:rPr>
          <w:rFonts w:ascii="Arial" w:hAnsi="Arial" w:cs="Arial"/>
        </w:rPr>
        <w:t xml:space="preserve"> présente les Emplacements Réservés</w:t>
      </w:r>
      <w:r w:rsidR="002B02D8">
        <w:rPr>
          <w:rFonts w:ascii="Arial" w:hAnsi="Arial" w:cs="Arial"/>
        </w:rPr>
        <w:t> ;</w:t>
      </w:r>
    </w:p>
    <w:p w14:paraId="771C5FC4" w14:textId="351F3C00" w:rsidR="00D17129" w:rsidRPr="002B02D8" w:rsidRDefault="002B02D8" w:rsidP="00E9777A">
      <w:pPr>
        <w:pStyle w:val="Paragraphedeliste"/>
        <w:numPr>
          <w:ilvl w:val="0"/>
          <w:numId w:val="12"/>
        </w:numPr>
        <w:jc w:val="both"/>
        <w:rPr>
          <w:rFonts w:ascii="Arial" w:hAnsi="Arial"/>
          <w:smallCaps/>
        </w:rPr>
      </w:pPr>
      <w:r w:rsidRPr="002B02D8">
        <w:rPr>
          <w:rFonts w:ascii="Arial" w:hAnsi="Arial" w:cs="Arial"/>
        </w:rPr>
        <w:t>La troisième planche</w:t>
      </w:r>
      <w:r>
        <w:rPr>
          <w:rFonts w:ascii="Arial" w:hAnsi="Arial" w:cs="Arial"/>
        </w:rPr>
        <w:t>, à l’échelle de la commune,</w:t>
      </w:r>
      <w:r w:rsidRPr="002B02D8">
        <w:rPr>
          <w:rFonts w:ascii="Arial" w:hAnsi="Arial" w:cs="Arial"/>
        </w:rPr>
        <w:t xml:space="preserve"> identifie les indices de hauteur </w:t>
      </w:r>
      <w:r w:rsidRPr="002B02D8">
        <w:rPr>
          <w:rFonts w:ascii="Arial" w:hAnsi="Arial" w:cs="Arial"/>
        </w:rPr>
        <w:t>relevant du grand paysage.</w:t>
      </w:r>
      <w:bookmarkStart w:id="0" w:name="_GoBack"/>
      <w:bookmarkEnd w:id="0"/>
      <w:r w:rsidR="00D17129" w:rsidRPr="002B02D8">
        <w:rPr>
          <w:rFonts w:ascii="Arial" w:hAnsi="Arial" w:cs="Arial"/>
        </w:rPr>
        <w:t xml:space="preserve"> </w:t>
      </w:r>
    </w:p>
    <w:p w14:paraId="6741AF8E" w14:textId="77777777" w:rsidR="00CB2D8F" w:rsidRPr="00601709" w:rsidRDefault="00CB2D8F" w:rsidP="00601709">
      <w:pPr>
        <w:pStyle w:val="Sansinterligne"/>
        <w:jc w:val="both"/>
        <w:rPr>
          <w:rFonts w:ascii="Arial" w:hAnsi="Arial"/>
          <w:smallCaps/>
        </w:rPr>
      </w:pPr>
    </w:p>
    <w:p w14:paraId="3D785782" w14:textId="1CA07DED" w:rsidR="00EC5590" w:rsidRDefault="00325506" w:rsidP="00601709">
      <w:pPr>
        <w:spacing w:after="0" w:line="240" w:lineRule="auto"/>
        <w:jc w:val="both"/>
        <w:rPr>
          <w:rFonts w:ascii="Arial" w:hAnsi="Arial"/>
          <w:b/>
          <w:smallCaps/>
          <w:color w:val="70AD47" w:themeColor="accent6"/>
        </w:rPr>
      </w:pPr>
      <w:r w:rsidRPr="00601709">
        <w:rPr>
          <w:rFonts w:ascii="Arial" w:hAnsi="Arial"/>
          <w:smallCaps/>
        </w:rPr>
        <w:br w:type="column"/>
      </w:r>
      <w:r w:rsidR="00EC5590">
        <w:rPr>
          <w:rFonts w:ascii="Arial" w:hAnsi="Arial"/>
          <w:b/>
          <w:smallCaps/>
          <w:color w:val="70AD47" w:themeColor="accent6"/>
        </w:rPr>
        <w:t>Informations pratiques</w:t>
      </w:r>
    </w:p>
    <w:p w14:paraId="4CC1EC2B" w14:textId="77777777" w:rsidR="00B658B3" w:rsidRDefault="00B658B3" w:rsidP="00D42F7E">
      <w:pPr>
        <w:spacing w:after="0" w:line="240" w:lineRule="auto"/>
        <w:jc w:val="both"/>
        <w:rPr>
          <w:rFonts w:ascii="Arial" w:hAnsi="Arial"/>
        </w:rPr>
      </w:pPr>
    </w:p>
    <w:p w14:paraId="468E1493" w14:textId="77777777" w:rsidR="004971B9" w:rsidRPr="00B658B3" w:rsidRDefault="004971B9" w:rsidP="00D42F7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S’informer :</w:t>
      </w:r>
    </w:p>
    <w:p w14:paraId="53B814E8" w14:textId="77777777" w:rsidR="00CF26F3" w:rsidRDefault="004971B9" w:rsidP="00CF26F3">
      <w:pPr>
        <w:spacing w:before="120"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  <w:t>S</w:t>
      </w:r>
      <w:r w:rsidR="00B658B3" w:rsidRPr="00B658B3">
        <w:rPr>
          <w:rFonts w:ascii="Arial" w:hAnsi="Arial"/>
        </w:rPr>
        <w:t>ite internet de Mon</w:t>
      </w:r>
      <w:r>
        <w:rPr>
          <w:rFonts w:ascii="Arial" w:hAnsi="Arial"/>
        </w:rPr>
        <w:t>tpellier Méditerranée Métropole</w:t>
      </w:r>
      <w:r w:rsidR="00636791">
        <w:rPr>
          <w:rFonts w:ascii="Arial" w:hAnsi="Arial"/>
        </w:rPr>
        <w:t> :</w:t>
      </w:r>
      <w:r w:rsidR="00CF26F3">
        <w:rPr>
          <w:rFonts w:ascii="Arial" w:hAnsi="Arial"/>
        </w:rPr>
        <w:t xml:space="preserve"> www.montpellier3m.fr</w:t>
      </w:r>
      <w:r w:rsidR="001619D8">
        <w:rPr>
          <w:rFonts w:ascii="Arial" w:hAnsi="Arial"/>
        </w:rPr>
        <w:t>/PLUi</w:t>
      </w:r>
      <w:r w:rsidR="00CF26F3">
        <w:rPr>
          <w:rFonts w:ascii="Arial" w:hAnsi="Arial"/>
        </w:rPr>
        <w:t>.</w:t>
      </w:r>
    </w:p>
    <w:p w14:paraId="5806E963" w14:textId="1F9EFE21" w:rsidR="002D23B6" w:rsidRDefault="004971B9" w:rsidP="002D23B6">
      <w:pPr>
        <w:spacing w:before="120"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Journal </w:t>
      </w:r>
      <w:r w:rsidR="00CF26F3">
        <w:rPr>
          <w:rFonts w:ascii="Arial" w:hAnsi="Arial"/>
        </w:rPr>
        <w:t xml:space="preserve">« Montpellier </w:t>
      </w:r>
      <w:r>
        <w:rPr>
          <w:rFonts w:ascii="Arial" w:hAnsi="Arial"/>
        </w:rPr>
        <w:t>Métropole</w:t>
      </w:r>
      <w:r w:rsidR="00CF26F3">
        <w:rPr>
          <w:rFonts w:ascii="Arial" w:hAnsi="Arial"/>
        </w:rPr>
        <w:t xml:space="preserve"> en </w:t>
      </w:r>
      <w:r w:rsidR="00766005">
        <w:rPr>
          <w:rFonts w:ascii="Arial" w:hAnsi="Arial"/>
        </w:rPr>
        <w:t>c</w:t>
      </w:r>
      <w:r w:rsidR="00CF26F3">
        <w:rPr>
          <w:rFonts w:ascii="Arial" w:hAnsi="Arial"/>
        </w:rPr>
        <w:t>ommun »</w:t>
      </w:r>
      <w:r>
        <w:rPr>
          <w:rFonts w:ascii="Arial" w:hAnsi="Arial"/>
        </w:rPr>
        <w:t>.</w:t>
      </w:r>
    </w:p>
    <w:p w14:paraId="1C346464" w14:textId="41EA7CF3" w:rsidR="002D23B6" w:rsidRDefault="002D23B6" w:rsidP="002D23B6">
      <w:pPr>
        <w:spacing w:before="120"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="00473C8C">
        <w:rPr>
          <w:rFonts w:ascii="Arial" w:hAnsi="Arial"/>
        </w:rPr>
        <w:t xml:space="preserve">Projet de </w:t>
      </w:r>
      <w:proofErr w:type="spellStart"/>
      <w:r w:rsidR="00473C8C">
        <w:rPr>
          <w:rFonts w:ascii="Arial" w:hAnsi="Arial"/>
        </w:rPr>
        <w:t>PLUi</w:t>
      </w:r>
      <w:proofErr w:type="spellEnd"/>
      <w:r w:rsidR="00473C8C">
        <w:rPr>
          <w:rFonts w:ascii="Arial" w:hAnsi="Arial"/>
        </w:rPr>
        <w:t xml:space="preserve">, mis à disposition au fur et à </w:t>
      </w:r>
      <w:r w:rsidR="005F2F71">
        <w:rPr>
          <w:rFonts w:ascii="Arial" w:hAnsi="Arial"/>
        </w:rPr>
        <w:t>mesure</w:t>
      </w:r>
      <w:r w:rsidR="00473C8C">
        <w:rPr>
          <w:rFonts w:ascii="Arial" w:hAnsi="Arial"/>
        </w:rPr>
        <w:t xml:space="preserve"> </w:t>
      </w:r>
      <w:r w:rsidR="00845D21">
        <w:rPr>
          <w:rFonts w:ascii="Arial" w:hAnsi="Arial"/>
        </w:rPr>
        <w:t xml:space="preserve">à l’Hôtel de Métropole et </w:t>
      </w:r>
      <w:r w:rsidR="00636791">
        <w:rPr>
          <w:rFonts w:ascii="Arial" w:hAnsi="Arial"/>
        </w:rPr>
        <w:t>dans chacune des 31 communes de Montpellier Méditerranée Métropole.</w:t>
      </w:r>
    </w:p>
    <w:p w14:paraId="026F41E1" w14:textId="77777777" w:rsidR="0030466D" w:rsidRDefault="0030466D" w:rsidP="00B658B3">
      <w:pPr>
        <w:spacing w:after="0" w:line="240" w:lineRule="auto"/>
        <w:jc w:val="both"/>
        <w:rPr>
          <w:rFonts w:ascii="Arial" w:hAnsi="Arial"/>
        </w:rPr>
      </w:pPr>
    </w:p>
    <w:p w14:paraId="013EFDCE" w14:textId="77777777" w:rsidR="00D4190B" w:rsidRDefault="0030466D" w:rsidP="00B658B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Participer :</w:t>
      </w:r>
    </w:p>
    <w:p w14:paraId="689B69A1" w14:textId="1191B206" w:rsidR="00636791" w:rsidRDefault="00D4190B" w:rsidP="00AB0FBE">
      <w:pPr>
        <w:spacing w:before="120"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="00F66C93">
        <w:rPr>
          <w:rFonts w:ascii="Arial" w:hAnsi="Arial"/>
        </w:rPr>
        <w:t>R</w:t>
      </w:r>
      <w:r w:rsidR="00CC7EDF" w:rsidRPr="00B658B3">
        <w:rPr>
          <w:rFonts w:ascii="Arial" w:hAnsi="Arial"/>
        </w:rPr>
        <w:t>egistre</w:t>
      </w:r>
      <w:r w:rsidR="00845D21">
        <w:rPr>
          <w:rFonts w:ascii="Arial" w:hAnsi="Arial"/>
        </w:rPr>
        <w:t>s</w:t>
      </w:r>
      <w:r w:rsidR="00DA27B2">
        <w:rPr>
          <w:rFonts w:ascii="Arial" w:hAnsi="Arial"/>
        </w:rPr>
        <w:t xml:space="preserve"> </w:t>
      </w:r>
      <w:r w:rsidR="00CC7EDF" w:rsidRPr="00B658B3">
        <w:rPr>
          <w:rFonts w:ascii="Arial" w:hAnsi="Arial"/>
        </w:rPr>
        <w:t>permettant</w:t>
      </w:r>
      <w:r w:rsidR="00B658B3" w:rsidRPr="00B658B3">
        <w:rPr>
          <w:rFonts w:ascii="Arial" w:hAnsi="Arial"/>
        </w:rPr>
        <w:t xml:space="preserve"> au public de formuler ses </w:t>
      </w:r>
      <w:r w:rsidR="00CC7EDF" w:rsidRPr="00B658B3">
        <w:rPr>
          <w:rFonts w:ascii="Arial" w:hAnsi="Arial"/>
        </w:rPr>
        <w:t xml:space="preserve">observations </w:t>
      </w:r>
      <w:r w:rsidR="00CC7EDF">
        <w:rPr>
          <w:rFonts w:ascii="Arial" w:hAnsi="Arial"/>
        </w:rPr>
        <w:t xml:space="preserve">et </w:t>
      </w:r>
      <w:r w:rsidR="00B658B3" w:rsidRPr="00B658B3">
        <w:rPr>
          <w:rFonts w:ascii="Arial" w:hAnsi="Arial"/>
        </w:rPr>
        <w:t>avis, à l’Hôtel de Métropole et dans chacune des 31 communes de Montpellier Méditerranée Métropole (aux jours et heures habituels d’ouverture).</w:t>
      </w:r>
    </w:p>
    <w:p w14:paraId="2D303341" w14:textId="77777777" w:rsidR="00636791" w:rsidRDefault="00636791" w:rsidP="00AB0FBE">
      <w:pPr>
        <w:spacing w:before="120"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  <w:t>C</w:t>
      </w:r>
      <w:r w:rsidR="00B658B3" w:rsidRPr="00B658B3">
        <w:rPr>
          <w:rFonts w:ascii="Arial" w:hAnsi="Arial"/>
        </w:rPr>
        <w:t xml:space="preserve">ourrier à l’attention </w:t>
      </w:r>
      <w:r w:rsidRPr="00B658B3">
        <w:rPr>
          <w:rFonts w:ascii="Arial" w:hAnsi="Arial"/>
        </w:rPr>
        <w:t>de Monsieur</w:t>
      </w:r>
      <w:r w:rsidR="00B658B3" w:rsidRPr="00B658B3">
        <w:rPr>
          <w:rFonts w:ascii="Arial" w:hAnsi="Arial"/>
        </w:rPr>
        <w:t xml:space="preserve"> le Président</w:t>
      </w:r>
      <w:r w:rsidR="001619D8">
        <w:rPr>
          <w:rFonts w:ascii="Arial" w:hAnsi="Arial"/>
        </w:rPr>
        <w:t xml:space="preserve">, </w:t>
      </w:r>
      <w:r w:rsidR="00B658B3" w:rsidRPr="00B658B3">
        <w:rPr>
          <w:rFonts w:ascii="Arial" w:hAnsi="Arial"/>
        </w:rPr>
        <w:t>Mont</w:t>
      </w:r>
      <w:r>
        <w:rPr>
          <w:rFonts w:ascii="Arial" w:hAnsi="Arial"/>
        </w:rPr>
        <w:t>pellier Méditerranée Métropole</w:t>
      </w:r>
      <w:r w:rsidR="001619D8">
        <w:rPr>
          <w:rFonts w:ascii="Arial" w:hAnsi="Arial"/>
        </w:rPr>
        <w:t xml:space="preserve">, 50 place Zeus, CS 39556, 34961 Montpellier Cedex </w:t>
      </w:r>
      <w:r w:rsidR="00D27D03">
        <w:rPr>
          <w:rFonts w:ascii="Arial" w:hAnsi="Arial"/>
        </w:rPr>
        <w:t>2.</w:t>
      </w:r>
    </w:p>
    <w:p w14:paraId="2D2B0F51" w14:textId="77777777" w:rsidR="00636791" w:rsidRDefault="00636791" w:rsidP="00AB0FBE">
      <w:pPr>
        <w:spacing w:before="120"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  <w:t>F</w:t>
      </w:r>
      <w:r w:rsidR="007C2A7E">
        <w:rPr>
          <w:rFonts w:ascii="Arial" w:hAnsi="Arial"/>
        </w:rPr>
        <w:t xml:space="preserve">ormulaire </w:t>
      </w:r>
      <w:r>
        <w:rPr>
          <w:rFonts w:ascii="Arial" w:hAnsi="Arial"/>
        </w:rPr>
        <w:t xml:space="preserve">en ligne </w:t>
      </w:r>
      <w:r w:rsidR="00B658B3" w:rsidRPr="00B658B3">
        <w:rPr>
          <w:rFonts w:ascii="Arial" w:hAnsi="Arial"/>
        </w:rPr>
        <w:t>sur le site internet de Montpellier Méditerranée Métropole</w:t>
      </w:r>
      <w:r w:rsidR="00CF26F3">
        <w:rPr>
          <w:rFonts w:ascii="Arial" w:hAnsi="Arial"/>
        </w:rPr>
        <w:t> : www.montpellier3m.fr</w:t>
      </w:r>
      <w:r w:rsidR="001619D8">
        <w:rPr>
          <w:rFonts w:ascii="Arial" w:hAnsi="Arial"/>
        </w:rPr>
        <w:t>/PLUi</w:t>
      </w:r>
      <w:r w:rsidR="00CF26F3">
        <w:rPr>
          <w:rFonts w:ascii="Arial" w:hAnsi="Arial"/>
        </w:rPr>
        <w:t>.</w:t>
      </w:r>
    </w:p>
    <w:p w14:paraId="075EE6DE" w14:textId="514B30DA" w:rsidR="00EC5590" w:rsidRDefault="00636791" w:rsidP="00AB0FBE">
      <w:pPr>
        <w:spacing w:before="120" w:after="0" w:line="240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  <w:t>M</w:t>
      </w:r>
      <w:r w:rsidR="00B658B3" w:rsidRPr="00B658B3">
        <w:rPr>
          <w:rFonts w:ascii="Arial" w:hAnsi="Arial"/>
        </w:rPr>
        <w:t xml:space="preserve">ail à l’adresse </w:t>
      </w:r>
      <w:hyperlink r:id="rId10" w:history="1">
        <w:r w:rsidR="00B658B3" w:rsidRPr="00B658B3">
          <w:rPr>
            <w:rFonts w:ascii="Arial" w:hAnsi="Arial"/>
          </w:rPr>
          <w:t>elaborationplui@montpellier3m.fr</w:t>
        </w:r>
      </w:hyperlink>
      <w:r w:rsidR="00B658B3" w:rsidRPr="00B658B3">
        <w:rPr>
          <w:rFonts w:ascii="Arial" w:hAnsi="Arial"/>
        </w:rPr>
        <w:t>.</w:t>
      </w:r>
    </w:p>
    <w:sectPr w:rsidR="00EC5590" w:rsidSect="003744B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2889" w14:textId="77777777" w:rsidR="006A0477" w:rsidRDefault="006A0477" w:rsidP="008969DB">
      <w:pPr>
        <w:spacing w:after="0" w:line="240" w:lineRule="auto"/>
      </w:pPr>
      <w:r>
        <w:separator/>
      </w:r>
    </w:p>
  </w:endnote>
  <w:endnote w:type="continuationSeparator" w:id="0">
    <w:p w14:paraId="6F16FFA3" w14:textId="77777777" w:rsidR="006A0477" w:rsidRDefault="006A0477" w:rsidP="0089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3185" w14:textId="4F7601C7" w:rsidR="008969DB" w:rsidRPr="008969DB" w:rsidRDefault="008969DB" w:rsidP="00325506">
    <w:pPr>
      <w:pStyle w:val="Pieddepage"/>
      <w:pBdr>
        <w:top w:val="single" w:sz="12" w:space="1" w:color="70AD47" w:themeColor="accent6"/>
      </w:pBdr>
      <w:tabs>
        <w:tab w:val="clear" w:pos="4536"/>
        <w:tab w:val="clear" w:pos="9072"/>
        <w:tab w:val="left" w:pos="3969"/>
      </w:tabs>
      <w:rPr>
        <w:rFonts w:ascii="Arial" w:hAnsi="Arial" w:cs="Arial"/>
        <w:color w:val="7F7F7F" w:themeColor="text1" w:themeTint="80"/>
        <w:sz w:val="20"/>
        <w:szCs w:val="20"/>
      </w:rPr>
    </w:pPr>
    <w:r w:rsidRPr="008969DB">
      <w:rPr>
        <w:rFonts w:ascii="Arial" w:hAnsi="Arial" w:cs="Arial"/>
        <w:color w:val="7F7F7F" w:themeColor="text1" w:themeTint="80"/>
        <w:sz w:val="20"/>
        <w:szCs w:val="20"/>
      </w:rPr>
      <w:t>Montpellier Méditerranée Métropole</w:t>
    </w:r>
    <w:r w:rsidR="00325506">
      <w:rPr>
        <w:rFonts w:ascii="Arial" w:hAnsi="Arial" w:cs="Arial"/>
        <w:color w:val="7F7F7F" w:themeColor="text1" w:themeTint="80"/>
        <w:sz w:val="20"/>
        <w:szCs w:val="20"/>
      </w:rPr>
      <w:tab/>
    </w:r>
    <w:proofErr w:type="spellStart"/>
    <w:r w:rsidRPr="008969DB">
      <w:rPr>
        <w:rFonts w:ascii="Arial" w:hAnsi="Arial" w:cs="Arial"/>
        <w:color w:val="7F7F7F" w:themeColor="text1" w:themeTint="80"/>
        <w:sz w:val="20"/>
        <w:szCs w:val="20"/>
      </w:rPr>
      <w:t>PLU</w:t>
    </w:r>
    <w:r w:rsidR="00325506">
      <w:rPr>
        <w:rFonts w:ascii="Arial" w:hAnsi="Arial" w:cs="Arial"/>
        <w:color w:val="7F7F7F" w:themeColor="text1" w:themeTint="80"/>
        <w:sz w:val="20"/>
        <w:szCs w:val="20"/>
      </w:rPr>
      <w:t>i</w:t>
    </w:r>
    <w:proofErr w:type="spellEnd"/>
    <w:r w:rsidR="006E5322">
      <w:rPr>
        <w:rFonts w:ascii="Arial" w:hAnsi="Arial" w:cs="Arial"/>
        <w:color w:val="7F7F7F" w:themeColor="text1" w:themeTint="80"/>
        <w:sz w:val="20"/>
        <w:szCs w:val="20"/>
      </w:rPr>
      <w:t>-</w:t>
    </w:r>
    <w:r w:rsidRPr="008969DB">
      <w:rPr>
        <w:rFonts w:ascii="Arial" w:hAnsi="Arial" w:cs="Arial"/>
        <w:color w:val="7F7F7F" w:themeColor="text1" w:themeTint="80"/>
        <w:sz w:val="20"/>
        <w:szCs w:val="20"/>
      </w:rPr>
      <w:t xml:space="preserve">Climat - </w:t>
    </w:r>
    <w:r w:rsidR="003935E7">
      <w:rPr>
        <w:rFonts w:ascii="Arial" w:hAnsi="Arial" w:cs="Arial"/>
        <w:color w:val="7F7F7F" w:themeColor="text1" w:themeTint="80"/>
        <w:sz w:val="20"/>
        <w:szCs w:val="20"/>
      </w:rPr>
      <w:t xml:space="preserve">Mise à disposition du </w:t>
    </w:r>
    <w:r w:rsidR="00F431A3">
      <w:rPr>
        <w:rFonts w:ascii="Arial" w:hAnsi="Arial" w:cs="Arial"/>
        <w:color w:val="7F7F7F" w:themeColor="text1" w:themeTint="80"/>
        <w:sz w:val="20"/>
        <w:szCs w:val="20"/>
      </w:rPr>
      <w:t>public</w:t>
    </w:r>
    <w:r w:rsidRPr="008969DB">
      <w:rPr>
        <w:rFonts w:ascii="Arial" w:hAnsi="Arial" w:cs="Arial"/>
        <w:color w:val="7F7F7F" w:themeColor="text1" w:themeTint="80"/>
        <w:sz w:val="20"/>
        <w:szCs w:val="20"/>
      </w:rPr>
      <w:ptab w:relativeTo="margin" w:alignment="right" w:leader="none"/>
    </w:r>
    <w:r w:rsidR="007D46D7">
      <w:rPr>
        <w:rFonts w:ascii="Arial" w:hAnsi="Arial" w:cs="Arial"/>
        <w:color w:val="7F7F7F" w:themeColor="text1" w:themeTint="80"/>
        <w:sz w:val="20"/>
        <w:szCs w:val="20"/>
      </w:rPr>
      <w:t>Décembre</w:t>
    </w:r>
    <w:r w:rsidR="009F6696">
      <w:rPr>
        <w:rFonts w:ascii="Arial" w:hAnsi="Arial" w:cs="Arial"/>
        <w:color w:val="7F7F7F" w:themeColor="text1" w:themeTint="80"/>
        <w:sz w:val="20"/>
        <w:szCs w:val="20"/>
      </w:rPr>
      <w:t xml:space="preserve"> 2023 </w:t>
    </w:r>
    <w:r w:rsidR="00F8469E">
      <w:rPr>
        <w:rFonts w:ascii="Arial" w:hAnsi="Arial" w:cs="Arial"/>
        <w:color w:val="7F7F7F" w:themeColor="text1" w:themeTint="80"/>
        <w:sz w:val="20"/>
        <w:szCs w:val="20"/>
      </w:rPr>
      <w:t xml:space="preserve">- </w:t>
    </w:r>
    <w:r w:rsidRPr="0037611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76119">
      <w:rPr>
        <w:rFonts w:ascii="Arial" w:hAnsi="Arial" w:cs="Arial"/>
        <w:color w:val="7F7F7F" w:themeColor="text1" w:themeTint="80"/>
        <w:sz w:val="20"/>
        <w:szCs w:val="20"/>
      </w:rPr>
      <w:instrText>PAGE   \* MERGEFORMAT</w:instrText>
    </w:r>
    <w:r w:rsidRPr="0037611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2B02D8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37611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76119">
      <w:rPr>
        <w:rFonts w:ascii="Arial" w:hAnsi="Arial" w:cs="Arial"/>
        <w:color w:val="7F7F7F" w:themeColor="text1" w:themeTint="80"/>
        <w:sz w:val="20"/>
        <w:szCs w:val="20"/>
      </w:rPr>
      <w:t xml:space="preserve"> </w:t>
    </w:r>
    <w:r w:rsidRPr="00376119">
      <w:rPr>
        <w:rFonts w:ascii="Arial" w:hAnsi="Arial" w:cs="Arial"/>
        <w:color w:val="7F7F7F" w:themeColor="text1" w:themeTint="80"/>
        <w:sz w:val="16"/>
        <w:szCs w:val="16"/>
      </w:rPr>
      <w:t>/</w:t>
    </w:r>
    <w:r w:rsidR="00C25C69">
      <w:rPr>
        <w:rFonts w:ascii="Arial" w:hAnsi="Arial" w:cs="Arial"/>
        <w:color w:val="7F7F7F" w:themeColor="text1" w:themeTint="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FBA6" w14:textId="77777777" w:rsidR="006A0477" w:rsidRDefault="006A0477" w:rsidP="008969DB">
      <w:pPr>
        <w:spacing w:after="0" w:line="240" w:lineRule="auto"/>
      </w:pPr>
      <w:r>
        <w:separator/>
      </w:r>
    </w:p>
  </w:footnote>
  <w:footnote w:type="continuationSeparator" w:id="0">
    <w:p w14:paraId="2677204A" w14:textId="77777777" w:rsidR="006A0477" w:rsidRDefault="006A0477" w:rsidP="0089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724"/>
    <w:multiLevelType w:val="hybridMultilevel"/>
    <w:tmpl w:val="64128DF6"/>
    <w:lvl w:ilvl="0" w:tplc="B5760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DCA"/>
    <w:multiLevelType w:val="hybridMultilevel"/>
    <w:tmpl w:val="F50C9432"/>
    <w:lvl w:ilvl="0" w:tplc="6D1C60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CB6"/>
    <w:multiLevelType w:val="hybridMultilevel"/>
    <w:tmpl w:val="A6DE0B54"/>
    <w:lvl w:ilvl="0" w:tplc="EC7CD9B6">
      <w:start w:val="4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CA16C2"/>
    <w:multiLevelType w:val="hybridMultilevel"/>
    <w:tmpl w:val="2A1E4E88"/>
    <w:lvl w:ilvl="0" w:tplc="82B60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3FB1"/>
    <w:multiLevelType w:val="hybridMultilevel"/>
    <w:tmpl w:val="C67C2B1E"/>
    <w:lvl w:ilvl="0" w:tplc="8DC0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A26FD"/>
    <w:multiLevelType w:val="hybridMultilevel"/>
    <w:tmpl w:val="C478DE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855AD8"/>
    <w:multiLevelType w:val="hybridMultilevel"/>
    <w:tmpl w:val="FC7E1AD4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8D6376F"/>
    <w:multiLevelType w:val="hybridMultilevel"/>
    <w:tmpl w:val="BCC0B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25CE0"/>
    <w:multiLevelType w:val="hybridMultilevel"/>
    <w:tmpl w:val="166A5598"/>
    <w:lvl w:ilvl="0" w:tplc="CC0EB0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55E4"/>
    <w:multiLevelType w:val="hybridMultilevel"/>
    <w:tmpl w:val="9B14F072"/>
    <w:lvl w:ilvl="0" w:tplc="040C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78C56C0A"/>
    <w:multiLevelType w:val="hybridMultilevel"/>
    <w:tmpl w:val="37426B4A"/>
    <w:lvl w:ilvl="0" w:tplc="6D480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03EDA"/>
    <w:multiLevelType w:val="hybridMultilevel"/>
    <w:tmpl w:val="BD76CEB8"/>
    <w:lvl w:ilvl="0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DC"/>
    <w:rsid w:val="00002C57"/>
    <w:rsid w:val="0000407D"/>
    <w:rsid w:val="00010870"/>
    <w:rsid w:val="00010EBD"/>
    <w:rsid w:val="000347A2"/>
    <w:rsid w:val="00043DBD"/>
    <w:rsid w:val="000560FC"/>
    <w:rsid w:val="0007623A"/>
    <w:rsid w:val="00097F95"/>
    <w:rsid w:val="000B4E60"/>
    <w:rsid w:val="000B7F6B"/>
    <w:rsid w:val="000C03D4"/>
    <w:rsid w:val="000C1517"/>
    <w:rsid w:val="000D7875"/>
    <w:rsid w:val="000E3893"/>
    <w:rsid w:val="001012CE"/>
    <w:rsid w:val="00107447"/>
    <w:rsid w:val="001214B7"/>
    <w:rsid w:val="00123CE9"/>
    <w:rsid w:val="001415C5"/>
    <w:rsid w:val="00143C2E"/>
    <w:rsid w:val="001619D8"/>
    <w:rsid w:val="00170ECD"/>
    <w:rsid w:val="00181186"/>
    <w:rsid w:val="00182432"/>
    <w:rsid w:val="001A4EE1"/>
    <w:rsid w:val="001A6624"/>
    <w:rsid w:val="001E1A16"/>
    <w:rsid w:val="001F04BC"/>
    <w:rsid w:val="001F56CE"/>
    <w:rsid w:val="00207A7F"/>
    <w:rsid w:val="00261311"/>
    <w:rsid w:val="00282915"/>
    <w:rsid w:val="002A68CA"/>
    <w:rsid w:val="002B02D8"/>
    <w:rsid w:val="002C34E2"/>
    <w:rsid w:val="002C4167"/>
    <w:rsid w:val="002D23B6"/>
    <w:rsid w:val="002E1FDB"/>
    <w:rsid w:val="0030466D"/>
    <w:rsid w:val="00325506"/>
    <w:rsid w:val="003452A4"/>
    <w:rsid w:val="00360BAE"/>
    <w:rsid w:val="003744B1"/>
    <w:rsid w:val="00376119"/>
    <w:rsid w:val="00384A48"/>
    <w:rsid w:val="003935E7"/>
    <w:rsid w:val="003D2123"/>
    <w:rsid w:val="00404683"/>
    <w:rsid w:val="00423F88"/>
    <w:rsid w:val="00446C64"/>
    <w:rsid w:val="00450C66"/>
    <w:rsid w:val="004718C6"/>
    <w:rsid w:val="00472E58"/>
    <w:rsid w:val="00473C8C"/>
    <w:rsid w:val="00495E57"/>
    <w:rsid w:val="004971B9"/>
    <w:rsid w:val="004A2643"/>
    <w:rsid w:val="004F78BB"/>
    <w:rsid w:val="00514C15"/>
    <w:rsid w:val="005459E1"/>
    <w:rsid w:val="00561C82"/>
    <w:rsid w:val="005A0837"/>
    <w:rsid w:val="005A534B"/>
    <w:rsid w:val="005F2F71"/>
    <w:rsid w:val="005F511E"/>
    <w:rsid w:val="00601709"/>
    <w:rsid w:val="0062180D"/>
    <w:rsid w:val="0063458F"/>
    <w:rsid w:val="006363CF"/>
    <w:rsid w:val="00636791"/>
    <w:rsid w:val="0064433E"/>
    <w:rsid w:val="00645F4F"/>
    <w:rsid w:val="00665E1D"/>
    <w:rsid w:val="00667166"/>
    <w:rsid w:val="00692DA0"/>
    <w:rsid w:val="006938B7"/>
    <w:rsid w:val="006A0477"/>
    <w:rsid w:val="006B150D"/>
    <w:rsid w:val="006B7B8A"/>
    <w:rsid w:val="006E0E45"/>
    <w:rsid w:val="006E5322"/>
    <w:rsid w:val="006F1C4A"/>
    <w:rsid w:val="006F36CC"/>
    <w:rsid w:val="007147EE"/>
    <w:rsid w:val="007153CC"/>
    <w:rsid w:val="00720A99"/>
    <w:rsid w:val="007362B5"/>
    <w:rsid w:val="007460C4"/>
    <w:rsid w:val="00747CE2"/>
    <w:rsid w:val="00750BDD"/>
    <w:rsid w:val="007565D9"/>
    <w:rsid w:val="00760269"/>
    <w:rsid w:val="00766005"/>
    <w:rsid w:val="00772CAA"/>
    <w:rsid w:val="00780811"/>
    <w:rsid w:val="007B66F8"/>
    <w:rsid w:val="007C1971"/>
    <w:rsid w:val="007C2A7E"/>
    <w:rsid w:val="007D46D7"/>
    <w:rsid w:val="007F4E2B"/>
    <w:rsid w:val="007F5805"/>
    <w:rsid w:val="00840514"/>
    <w:rsid w:val="00843D41"/>
    <w:rsid w:val="00845D21"/>
    <w:rsid w:val="0087351D"/>
    <w:rsid w:val="00895B6E"/>
    <w:rsid w:val="008969DB"/>
    <w:rsid w:val="008B5556"/>
    <w:rsid w:val="008C02C0"/>
    <w:rsid w:val="008D00D3"/>
    <w:rsid w:val="008D51C6"/>
    <w:rsid w:val="008E4CC9"/>
    <w:rsid w:val="0091137E"/>
    <w:rsid w:val="00922299"/>
    <w:rsid w:val="00923BD3"/>
    <w:rsid w:val="00925000"/>
    <w:rsid w:val="009524DC"/>
    <w:rsid w:val="009526DF"/>
    <w:rsid w:val="0096215F"/>
    <w:rsid w:val="00965954"/>
    <w:rsid w:val="00993DAE"/>
    <w:rsid w:val="009A3561"/>
    <w:rsid w:val="009A3596"/>
    <w:rsid w:val="009C5B52"/>
    <w:rsid w:val="009E4F60"/>
    <w:rsid w:val="009F6696"/>
    <w:rsid w:val="00A00CDF"/>
    <w:rsid w:val="00A348EC"/>
    <w:rsid w:val="00A54EA1"/>
    <w:rsid w:val="00A62EBA"/>
    <w:rsid w:val="00A900BB"/>
    <w:rsid w:val="00AB0FBE"/>
    <w:rsid w:val="00AC3230"/>
    <w:rsid w:val="00AD2C80"/>
    <w:rsid w:val="00AE3AE8"/>
    <w:rsid w:val="00AF3932"/>
    <w:rsid w:val="00B12B73"/>
    <w:rsid w:val="00B13693"/>
    <w:rsid w:val="00B33EF4"/>
    <w:rsid w:val="00B41ABD"/>
    <w:rsid w:val="00B44B65"/>
    <w:rsid w:val="00B625BB"/>
    <w:rsid w:val="00B64CE2"/>
    <w:rsid w:val="00B658B3"/>
    <w:rsid w:val="00B839DF"/>
    <w:rsid w:val="00B93878"/>
    <w:rsid w:val="00BA5E21"/>
    <w:rsid w:val="00BA7C1A"/>
    <w:rsid w:val="00BB0A04"/>
    <w:rsid w:val="00BD2E95"/>
    <w:rsid w:val="00C12FC0"/>
    <w:rsid w:val="00C21FA0"/>
    <w:rsid w:val="00C24D5D"/>
    <w:rsid w:val="00C25C69"/>
    <w:rsid w:val="00C267D7"/>
    <w:rsid w:val="00C310A2"/>
    <w:rsid w:val="00C56108"/>
    <w:rsid w:val="00CA0B36"/>
    <w:rsid w:val="00CB2D8F"/>
    <w:rsid w:val="00CC2534"/>
    <w:rsid w:val="00CC7EDF"/>
    <w:rsid w:val="00CE1796"/>
    <w:rsid w:val="00CF26F3"/>
    <w:rsid w:val="00CF60A3"/>
    <w:rsid w:val="00D00EA1"/>
    <w:rsid w:val="00D01659"/>
    <w:rsid w:val="00D17129"/>
    <w:rsid w:val="00D227F3"/>
    <w:rsid w:val="00D23F2A"/>
    <w:rsid w:val="00D27D03"/>
    <w:rsid w:val="00D3389E"/>
    <w:rsid w:val="00D4190B"/>
    <w:rsid w:val="00D42F7E"/>
    <w:rsid w:val="00D472DF"/>
    <w:rsid w:val="00D73998"/>
    <w:rsid w:val="00D75E3C"/>
    <w:rsid w:val="00D872FB"/>
    <w:rsid w:val="00DA27B2"/>
    <w:rsid w:val="00DA59EA"/>
    <w:rsid w:val="00DB1057"/>
    <w:rsid w:val="00DB79F5"/>
    <w:rsid w:val="00DC3DA4"/>
    <w:rsid w:val="00E32561"/>
    <w:rsid w:val="00E369FF"/>
    <w:rsid w:val="00E50B22"/>
    <w:rsid w:val="00EA0056"/>
    <w:rsid w:val="00EA4660"/>
    <w:rsid w:val="00EC0BCA"/>
    <w:rsid w:val="00EC5590"/>
    <w:rsid w:val="00F03057"/>
    <w:rsid w:val="00F162B1"/>
    <w:rsid w:val="00F24BE7"/>
    <w:rsid w:val="00F30206"/>
    <w:rsid w:val="00F37159"/>
    <w:rsid w:val="00F431A3"/>
    <w:rsid w:val="00F56FDE"/>
    <w:rsid w:val="00F60F73"/>
    <w:rsid w:val="00F64455"/>
    <w:rsid w:val="00F6661A"/>
    <w:rsid w:val="00F66C93"/>
    <w:rsid w:val="00F66CCC"/>
    <w:rsid w:val="00F75005"/>
    <w:rsid w:val="00F81CB9"/>
    <w:rsid w:val="00F8469E"/>
    <w:rsid w:val="00F8617A"/>
    <w:rsid w:val="00FB2EF7"/>
    <w:rsid w:val="00FD1278"/>
    <w:rsid w:val="00FE21EE"/>
    <w:rsid w:val="00FE3049"/>
    <w:rsid w:val="00FF0A9A"/>
    <w:rsid w:val="00FF0F56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EC6C75"/>
  <w15:chartTrackingRefBased/>
  <w15:docId w15:val="{A79D7F93-24C0-410F-8E23-C6D626D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EA1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D00E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9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9DB"/>
  </w:style>
  <w:style w:type="paragraph" w:styleId="Pieddepage">
    <w:name w:val="footer"/>
    <w:basedOn w:val="Normal"/>
    <w:link w:val="PieddepageCar"/>
    <w:uiPriority w:val="99"/>
    <w:unhideWhenUsed/>
    <w:rsid w:val="0089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9DB"/>
  </w:style>
  <w:style w:type="paragraph" w:styleId="Sansinterligne">
    <w:name w:val="No Spacing"/>
    <w:uiPriority w:val="1"/>
    <w:qFormat/>
    <w:rsid w:val="00B44B65"/>
    <w:pPr>
      <w:spacing w:after="0" w:line="240" w:lineRule="auto"/>
    </w:pPr>
  </w:style>
  <w:style w:type="character" w:styleId="CitationHTML">
    <w:name w:val="HTML Cite"/>
    <w:basedOn w:val="Policepardfaut"/>
    <w:uiPriority w:val="99"/>
    <w:semiHidden/>
    <w:unhideWhenUsed/>
    <w:rsid w:val="00636791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7460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0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0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0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0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0C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93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aborationplui@montpellier3m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D342-6FE7-46BC-802C-66716A99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MINIER paul</dc:creator>
  <cp:keywords/>
  <dc:description/>
  <cp:lastModifiedBy>FRIOL caroline</cp:lastModifiedBy>
  <cp:revision>17</cp:revision>
  <cp:lastPrinted>2021-07-06T08:51:00Z</cp:lastPrinted>
  <dcterms:created xsi:type="dcterms:W3CDTF">2023-12-22T15:48:00Z</dcterms:created>
  <dcterms:modified xsi:type="dcterms:W3CDTF">2023-12-26T18:32:00Z</dcterms:modified>
</cp:coreProperties>
</file>